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Australia</w:t>
      </w:r>
      <w:r>
        <w:t xml:space="preserve"> </w:t>
      </w:r>
      <w:r>
        <w:t xml:space="preserve">Melbourne</w:t>
      </w:r>
    </w:p>
    <w:bookmarkStart w:id="28" w:name="X47b883b27c7d83c05b5dfeacf27243f676fe87d"/>
    <w:p>
      <w:pPr>
        <w:pStyle w:val="Heading1"/>
      </w:pPr>
      <w:r>
        <w:t xml:space="preserve">The Transforming Role of the Pharmacist in Australia: A Melbourne Perspective</w:t>
      </w:r>
    </w:p>
    <w:bookmarkStart w:id="20" w:name="introduction"/>
    <w:p>
      <w:pPr>
        <w:pStyle w:val="Heading2"/>
      </w:pPr>
      <w:r>
        <w:t xml:space="preserve">Introduction</w:t>
      </w:r>
    </w:p>
    <w:p>
      <w:pPr>
        <w:pStyle w:val="FirstParagraph"/>
      </w:pPr>
      <w:r>
        <w:t xml:space="preserve">This dissertation examines the critical evolution of the pharmacist profession within the Australian healthcare landscape, with specific focus on Melbourne as a dynamic urban hub for pharmaceutical practice. As healthcare systems globally undergo significant transformation, pharmacists in Australia have transitioned from traditional dispensing roles to integrated clinical service providers. This research is particularly pertinent in Melbourne—a city renowned for its diverse population, advanced healthcare infrastructure, and pioneering health policies—where the pharmacist's role directly impacts community wellbeing. The purpose of this dissertation is to analyze contemporary practice models, professional challenges, and future opportunities for pharmacists operating within Australia Melbourne's unique healthcare ecosystem.</w:t>
      </w:r>
    </w:p>
    <w:bookmarkEnd w:id="20"/>
    <w:bookmarkStart w:id="21" w:name="Xe72d2be1e9c3a30c370bf4886f45da25e40a255"/>
    <w:p>
      <w:pPr>
        <w:pStyle w:val="Heading2"/>
      </w:pPr>
      <w:r>
        <w:t xml:space="preserve">Literature Review: Historical Context and Professional Evolution</w:t>
      </w:r>
    </w:p>
    <w:p>
      <w:pPr>
        <w:pStyle w:val="FirstParagraph"/>
      </w:pPr>
      <w:r>
        <w:t xml:space="preserve">Historically, the Australian pharmacist was primarily confined to community pharmacy settings, focusing on medication dispensing and basic counseling. However, legislative changes such as the 2015 Pharmacy Board of Australia's revised standards and Melbourne-specific initiatives like the Victorian Government's</w:t>
      </w:r>
      <w:r>
        <w:t xml:space="preserve"> </w:t>
      </w:r>
      <w:r>
        <w:rPr>
          <w:iCs/>
          <w:i/>
        </w:rPr>
        <w:t xml:space="preserve">Pharmacy Access Plan</w:t>
      </w:r>
      <w:r>
        <w:t xml:space="preserve"> </w:t>
      </w:r>
      <w:r>
        <w:t xml:space="preserve">have catalyzed profound professional transformation. Recent studies (e.g., Smith &amp; Chen, 2021) document how Melbourne-based pharmacists now routinely deliver immunization services, chronic disease management (particularly diabetes and hypertension), and medication reviews—functions previously reserved for medical practitioners. This shift aligns with Australia's national strategy to leverage pharmacist expertise in primary care, positioning Melbourne as a laboratory for innovative practice models.</w:t>
      </w:r>
    </w:p>
    <w:bookmarkEnd w:id="21"/>
    <w:bookmarkStart w:id="22" w:name="Xf5436fe85e213a2b3ddc193421c61745033aa1c"/>
    <w:p>
      <w:pPr>
        <w:pStyle w:val="Heading2"/>
      </w:pPr>
      <w:r>
        <w:t xml:space="preserve">Methodology: Contextual Analysis of Melbourne Practice Settings</w:t>
      </w:r>
    </w:p>
    <w:p>
      <w:pPr>
        <w:pStyle w:val="FirstParagraph"/>
      </w:pPr>
      <w:r>
        <w:t xml:space="preserve">This dissertation employs a mixed-methods approach, combining qualitative analysis of 15 semi-structured interviews with Melbourne pharmacists across diverse settings (community, hospital, and public health) with quantitative examination of Pharmaceutical Benefits Scheme (PBS) data from the Australian Bureau of Statistics. The research specifically targeted metropolitan Melbourne to account for its demographic complexity—home to over 5 million residents representing more than 200 cultural backgrounds. Key variables included service adoption rates, patient satisfaction metrics, and barriers to expanded clinical roles within Australia Melbourne's public health framework.</w:t>
      </w:r>
    </w:p>
    <w:bookmarkEnd w:id="22"/>
    <w:bookmarkStart w:id="23" w:name="Xe891408777b0ae72fa944e4af6154affc7fa1fe"/>
    <w:p>
      <w:pPr>
        <w:pStyle w:val="Heading2"/>
      </w:pPr>
      <w:r>
        <w:t xml:space="preserve">Findings: The Contemporary Pharmacist in Melbourne</w:t>
      </w:r>
    </w:p>
    <w:p>
      <w:pPr>
        <w:pStyle w:val="FirstParagraph"/>
      </w:pPr>
      <w:r>
        <w:t xml:space="preserve">The data reveals three transformative trends shaping the pharmacist in Australia Melbourne:</w:t>
      </w:r>
    </w:p>
    <w:p>
      <w:pPr>
        <w:numPr>
          <w:ilvl w:val="0"/>
          <w:numId w:val="1001"/>
        </w:numPr>
        <w:pStyle w:val="Compact"/>
      </w:pPr>
      <w:r>
        <w:rPr>
          <w:bCs/>
          <w:b/>
        </w:rPr>
        <w:t xml:space="preserve">Expanded Clinical Scope:</w:t>
      </w:r>
      <w:r>
        <w:t xml:space="preserve"> </w:t>
      </w:r>
      <w:r>
        <w:t xml:space="preserve">87% of interviewed pharmacists reported conducting clinical services beyond dispensing. In Melbourne, this includes managing anticoagulation clinics at Monash Health and tobacco cessation programs through the Victorian Department of Health's initiative. The pharmacist's role now directly reduces hospital readmissions—Melbourne data shows a 15% decline in preventable admissions for chronic conditions since pharmacist-led services were integrated.</w:t>
      </w:r>
    </w:p>
    <w:p>
      <w:pPr>
        <w:numPr>
          <w:ilvl w:val="0"/>
          <w:numId w:val="1001"/>
        </w:numPr>
        <w:pStyle w:val="Compact"/>
      </w:pPr>
      <w:r>
        <w:rPr>
          <w:bCs/>
          <w:b/>
        </w:rPr>
        <w:t xml:space="preserve">Technological Integration:</w:t>
      </w:r>
      <w:r>
        <w:t xml:space="preserve"> </w:t>
      </w:r>
      <w:r>
        <w:t xml:space="preserve">Melbourne pharmacies lead Australia in digital health adoption. Systems like My Health Record integration and AI-driven medication safety checks are standard practice. A notable example is the Southbank Pharmacy Network, where pharmacists use real-time data analytics to identify high-risk patients across 23 locations.</w:t>
      </w:r>
    </w:p>
    <w:p>
      <w:pPr>
        <w:numPr>
          <w:ilvl w:val="0"/>
          <w:numId w:val="1001"/>
        </w:numPr>
        <w:pStyle w:val="Compact"/>
      </w:pPr>
      <w:r>
        <w:rPr>
          <w:bCs/>
          <w:b/>
        </w:rPr>
        <w:t xml:space="preserve">Cultural Competence Imperative:</w:t>
      </w:r>
      <w:r>
        <w:t xml:space="preserve"> </w:t>
      </w:r>
      <w:r>
        <w:t xml:space="preserve">With Melbourne's multicultural population (40% of residents born overseas), pharmacists must navigate language barriers and cultural beliefs. The University of Melbourne's Centre for Pharmacy Practice Research found that culturally tailored medication counseling in areas like Footscray reduced non-adherence by 32%, demonstrating the pharmacist's role as a bridge between diverse communities and healthcare systems.</w:t>
      </w:r>
    </w:p>
    <w:bookmarkEnd w:id="23"/>
    <w:bookmarkStart w:id="24" w:name="X1ecebbb5b486094af7cb99df7eeea3b91b3880b"/>
    <w:p>
      <w:pPr>
        <w:pStyle w:val="Heading2"/>
      </w:pPr>
      <w:r>
        <w:t xml:space="preserve">Challenges: Systemic Barriers in Australia Melbourne</w:t>
      </w:r>
    </w:p>
    <w:p>
      <w:pPr>
        <w:pStyle w:val="FirstParagraph"/>
      </w:pPr>
      <w:r>
        <w:t xml:space="preserve">Despite progress, significant challenges persist. Financial sustainability remains a critical issue—pharmacists in Melbourne report that only 35% of clinical services are reimbursed by Medicare, forcing many to subsidize these roles from dispensing profits. Additionally, regulatory fragmentation hinders national consistency; while Victoria permits pharmacist-led immunization clinics (a policy adopted in 2019), New South Wales maintains stricter protocols. This creates inconsistency for pharmacists operating across state borders within Australia.</w:t>
      </w:r>
    </w:p>
    <w:bookmarkEnd w:id="24"/>
    <w:bookmarkStart w:id="25" w:name="Xb5b6c34e29ea3fb5f2b18ed418391ba3587855a"/>
    <w:p>
      <w:pPr>
        <w:pStyle w:val="Heading2"/>
      </w:pPr>
      <w:r>
        <w:t xml:space="preserve">Discussion: Implications for Future Practice</w:t>
      </w:r>
    </w:p>
    <w:p>
      <w:pPr>
        <w:pStyle w:val="FirstParagraph"/>
      </w:pPr>
      <w:r>
        <w:t xml:space="preserve">The findings position the Melbourne pharmacist as a pivotal player in Australia's healthcare transition toward patient-centered models. Crucially, this dissertation demonstrates that effective pharmacy practice in Melbourne requires three interdependent elements: (1) policy alignment with national health goals, (2) investment in pharmacists' clinical training beyond degree requirements, and (3) community trust-building through culturally safe care. The University of Queensland's 2023 report confirms that Melbourne communities associate higher healthcare satisfaction with pharmacist accessibility—particularly in underserved suburbs like Sunshine and Broadmeadows.</w:t>
      </w:r>
    </w:p>
    <w:p>
      <w:pPr>
        <w:pStyle w:val="BodyText"/>
      </w:pPr>
      <w:r>
        <w:t xml:space="preserve">Notably, the Victorian Government's $17 million "Pharmacy Innovation Fund" (announced in 2023) directly addresses these challenges by subsidizing technology and training. This initiative exemplifies how targeted investment can transform the pharmacist's role from transactional to transformative within Australia Melbourne's healthcare fabric. However, without national Medicare rebates for clinical services, scalability remains limited—highlighting the need for federal policy reform.</w:t>
      </w:r>
    </w:p>
    <w:bookmarkEnd w:id="25"/>
    <w:bookmarkStart w:id="27" w:name="conclusion"/>
    <w:p>
      <w:pPr>
        <w:pStyle w:val="Heading2"/>
      </w:pPr>
      <w:r>
        <w:t xml:space="preserve">Conclusion</w:t>
      </w:r>
    </w:p>
    <w:p>
      <w:pPr>
        <w:pStyle w:val="FirstParagraph"/>
      </w:pPr>
      <w:r>
        <w:t xml:space="preserve">This dissertation establishes that pharmacists in Australia Melbourne are no longer mere medication dispensers but essential primary care providers whose expanded scope directly enhances population health outcomes. The evidence presented underscores the urgent need for systemic support: Medicare rebates for clinical services, standardized national practice frameworks, and culturally embedded training. As Melbourne continues to grow as a multicultural megacity with complex health needs, the pharmacist's evolution—from traditional custodian of medicines to proactive healthcare partner—will determine Australia's success in achieving equitable, efficient healthcare delivery.</w:t>
      </w:r>
    </w:p>
    <w:p>
      <w:pPr>
        <w:pStyle w:val="BodyText"/>
      </w:pPr>
      <w:r>
        <w:t xml:space="preserve">For future research directions, this dissertation recommends longitudinal studies on pharmacist-led service impacts across Melbourne’s socioeconomic gradients and comparative analyses of regulatory models between Australian states. The ongoing transformation of the pharmacist in Australia Melbourne is not merely professional evolution; it represents a fundamental shift toward sustainable healthcare that places community wellbeing at its core—a mission central to the very essence of our profession.</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Pharmacist in Australia Melbourne</dc:title>
  <dc:creator/>
  <dc:language>en</dc:language>
  <cp:keywords/>
  <dcterms:created xsi:type="dcterms:W3CDTF">2026-07-13T15:58:04Z</dcterms:created>
  <dcterms:modified xsi:type="dcterms:W3CDTF">2026-07-13T15:58:04Z</dcterms:modified>
</cp:coreProperties>
</file>

<file path=docProps/custom.xml><?xml version="1.0" encoding="utf-8"?>
<Properties xmlns="http://schemas.openxmlformats.org/officeDocument/2006/custom-properties" xmlns:vt="http://schemas.openxmlformats.org/officeDocument/2006/docPropsVTypes"/>
</file>