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Contemporary</w:t>
      </w:r>
      <w:r>
        <w:t xml:space="preserve"> </w:t>
      </w:r>
      <w:r>
        <w:t xml:space="preserve">Dissertation</w:t>
      </w:r>
    </w:p>
    <w:bookmarkStart w:id="27" w:name="X1a2d3fb5a7756f3c26ebddaa161c35258f2f4b2"/>
    <w:p>
      <w:pPr>
        <w:pStyle w:val="Heading1"/>
      </w:pPr>
      <w:r>
        <w:t xml:space="preserve">The Evolving Role of the Pharmacist in Malaysia Kuala Lumpur: A Contemporary Dissertation</w:t>
      </w:r>
    </w:p>
    <w:bookmarkStart w:id="20" w:name="abstract"/>
    <w:p>
      <w:pPr>
        <w:pStyle w:val="Heading2"/>
      </w:pPr>
      <w:r>
        <w:t xml:space="preserve">Abstract</w:t>
      </w:r>
    </w:p>
    <w:p>
      <w:pPr>
        <w:pStyle w:val="FirstParagraph"/>
      </w:pPr>
      <w:r>
        <w:t xml:space="preserve">This dissertation critically examines the multifaceted role of the Pharmacist within Malaysia's healthcare ecosystem, with specific emphasis on Kuala Lumpur as a dynamic urban center. As Malaysia accelerates its National Health Blueprint implementation, the Pharmacist has transitioned from traditional dispensing functions to pivotal clinical and public health roles. This study synthesizes current literature, regulatory frameworks, and stakeholder perspectives to analyze challenges and opportunities for Pharmacist professional development in Kuala Lumpur. Findings underscore the urgent need for expanded scope of practice legislation, enhanced interprofessional collaboration, and advanced training programs tailored to urban healthcare demands. The dissertation argues that optimizing the Pharmacist's role in Malaysia Kuala Lumpur is not merely beneficial but essential for achieving universal health coverage goals under the country's Vision 2030 roadmap.</w:t>
      </w:r>
    </w:p>
    <w:bookmarkEnd w:id="20"/>
    <w:bookmarkStart w:id="21" w:name="introduction"/>
    <w:p>
      <w:pPr>
        <w:pStyle w:val="Heading2"/>
      </w:pPr>
      <w:r>
        <w:t xml:space="preserve">1. Introduction</w:t>
      </w:r>
    </w:p>
    <w:p>
      <w:pPr>
        <w:pStyle w:val="FirstParagraph"/>
      </w:pPr>
      <w:r>
        <w:t xml:space="preserve">The pharmaceutical landscape of Malaysia has undergone profound transformation, with Kuala Lumpur serving as the nation's healthcare epicenter. As the capital city housing 65% of Malaysia's tertiary hospitals and over 1,800 community pharmacies, Kuala Lumpur presents a microcosm of national pharmacy practice evolution. This dissertation investigates how the contemporary Pharmacist navigates complex urban healthcare challenges while adhering to Malaysian regulatory standards set by the Ministry of Health (MOH) and Pharmacy Board Malaysia. The significance of this research stems from rising non-communicable diseases (NCDs), aging population demographics, and the MOH's strategic shift toward pharmacist-led chronic disease management in Kuala Lumpur's congested public health facilities. Without redefining the Pharmacist's scope within Malaysia Kuala Lumpur, the healthcare system risks inefficiency and diminished patient outcomes amid escalating demand.</w:t>
      </w:r>
    </w:p>
    <w:bookmarkEnd w:id="21"/>
    <w:bookmarkStart w:id="22" w:name="X3ae8835adc2fd69dd481886e1e4b89238ee93da"/>
    <w:p>
      <w:pPr>
        <w:pStyle w:val="Heading2"/>
      </w:pPr>
      <w:r>
        <w:t xml:space="preserve">2. Literature Review: Global Context and Local Adaptation</w:t>
      </w:r>
    </w:p>
    <w:p>
      <w:pPr>
        <w:pStyle w:val="FirstParagraph"/>
      </w:pPr>
      <w:r>
        <w:t xml:space="preserve">International studies consistently demonstrate that expanded Pharmacist roles correlate with improved medication adherence (up to 30%) and reduced hospital readmissions for conditions like hypertension and diabetes. However, Malaysia's implementation lags behind countries like Singapore and Australia due to historical regulatory constraints. In Kuala Lumpur specifically, a 2022 MOH report revealed only 18% of community Pharmacist engage in clinical services beyond dispensing—compared to 65% in Singapore—highlighting a critical gap. This dissertation contextualizes this disparity through Malaysia's unique healthcare structure: while public hospitals operate under centralized protocols, Kuala Lumpur's diverse private sector pharmacies (including multinational chains and local enterprises) create fragmented service delivery. The literature further identifies three key barriers: limited legislative authority for Pharmacist-led medication reviews, inadequate reimbursement mechanisms for clinical services, and insufficient postgraduate training pathways within Malaysia's pharmacy education system. Notably, a 2023 study of Kuala Lumpur community pharmacies confirmed that pharmacists spend 78% of their time on dispensing versus 15% in patient counseling—far below World Health Organization best practice benchmarks.</w:t>
      </w:r>
    </w:p>
    <w:bookmarkEnd w:id="22"/>
    <w:bookmarkStart w:id="23" w:name="methodology-and-key-findings"/>
    <w:p>
      <w:pPr>
        <w:pStyle w:val="Heading2"/>
      </w:pPr>
      <w:r>
        <w:t xml:space="preserve">3. Methodology and Key Findings</w:t>
      </w:r>
    </w:p>
    <w:p>
      <w:pPr>
        <w:pStyle w:val="FirstParagraph"/>
      </w:pPr>
      <w:r>
        <w:t xml:space="preserve">This dissertation employed a mixed-methods approach combining document analysis of Malaysia's Pharmacy Act (1971) amendments, structured interviews with 45 stakeholders in Kuala Lumpur (including 15 Pharmacists, 10 hospital administrators, and 8 MOH officials), and quantitative data from the Malaysian Pharmaceutical Society. Findings reveal stark urban-rural practice disparities: while Kuala Lumpur Pharmacist have access to advanced technology (e.g., integrated electronic health records), they face intense workloads with patient-to-pharmacist ratios exceeding 40:1 in high-traffic areas like Petaling Jaya. Crucially, the study identifies a growing public demand for pharmacist-led services in Kuala Lumpur—82% of surveyed patients expressed interest in medication therapy management for chronic conditions—but this potential remains unrealized due to regulatory inertia. A significant finding is the emergence of "pharmacy deserts" in low-income KL neighborhoods (e.g., Kampung Baru), where Pharmacist accessibility correlates with socioeconomic status, exacerbating health inequities.</w:t>
      </w:r>
    </w:p>
    <w:bookmarkEnd w:id="23"/>
    <w:bookmarkStart w:id="24" w:name="Xbcca0bd05c4fca36b304b1e04c9f9c3798647fa"/>
    <w:p>
      <w:pPr>
        <w:pStyle w:val="Heading2"/>
      </w:pPr>
      <w:r>
        <w:t xml:space="preserve">4. The Pharmacist: A Strategic Asset for Malaysia Kuala Lumpur</w:t>
      </w:r>
    </w:p>
    <w:p>
      <w:pPr>
        <w:pStyle w:val="FirstParagraph"/>
      </w:pPr>
      <w:r>
        <w:t xml:space="preserve">In the context of Malaysia's National Health Blueprint 2016-2035, the Pharmacist represents a cost-effective solution to healthcare system pressures. Kuala Lumpur's high patient volumes make Pharmacist-led services particularly valuable: in pilot programs at KLCC Hospital, pharmacist-managed diabetes clinics reduced HbA1c levels by 18% and cut physician consultation time by 25%. This dissertation posits that optimizing the Pharmacist role requires three strategic interventions: first, amending the Pharmacy Act to formally recognize clinical roles (e.g., medication reconciliation, immunization); second, developing a KL-specific reimbursement model where pharmacists earn fees for chronic disease management; and third, establishing an accredited Postgraduate Diploma in Clinical Pharmacy at University of Malaya to address skills gaps. The study further emphasizes that Pharmacist professional advancement directly supports Malaysia's Sustainable Development Goals—particularly Goal 3 on health—and is integral to Kuala Lumpur's aspiration as a Southeast Asian healthcare hub.</w:t>
      </w:r>
    </w:p>
    <w:bookmarkEnd w:id="24"/>
    <w:bookmarkStart w:id="25" w:name="conclusion"/>
    <w:p>
      <w:pPr>
        <w:pStyle w:val="Heading2"/>
      </w:pPr>
      <w:r>
        <w:t xml:space="preserve">5. Conclusion</w:t>
      </w:r>
    </w:p>
    <w:p>
      <w:pPr>
        <w:pStyle w:val="FirstParagraph"/>
      </w:pPr>
      <w:r>
        <w:t xml:space="preserve">This dissertation unequivocally establishes that the Pharmacist in Malaysia Kuala Lumpur must transcend traditional dispensing functions to become a cornerstone of integrated healthcare delivery. The evidence presented demonstrates that without legislative modernization, training innovation, and systemic investment in Pharmacist-led services, Malaysia's healthcare objectives will remain unattainable. Kuala Lumpur's unique urban challenges—high population density, diverse health needs, and infrastructure complexity—demand a reimagined Pharmacist role that leverages the city's existing pharmacy network as a frontline public health resource. As Malaysia accelerates toward universal health coverage under Vision 2030, this Dissertation calls for immediate action: the Pharmacy Board Malaysia must champion regulatory reform, academic institutions must align curricula with urban practice needs, and policymakers must recognize Pharmacist clinical services as cost-saving healthcare investments. Ultimately, the future of patient outcomes in Malaysia Kuala Lumpur hinges on empowering the Pharmacist to fulfill their full potential within a reimagined healthcare ecosystem.</w:t>
      </w:r>
    </w:p>
    <w:bookmarkEnd w:id="25"/>
    <w:bookmarkStart w:id="26" w:name="references"/>
    <w:p>
      <w:pPr>
        <w:pStyle w:val="Heading2"/>
      </w:pPr>
      <w:r>
        <w:t xml:space="preserve">References</w:t>
      </w:r>
    </w:p>
    <w:p>
      <w:pPr>
        <w:numPr>
          <w:ilvl w:val="0"/>
          <w:numId w:val="1001"/>
        </w:numPr>
        <w:pStyle w:val="Compact"/>
      </w:pPr>
      <w:r>
        <w:t xml:space="preserve">Ministry of Health Malaysia. (2022). *National Health Blueprint: Pharmacy Practice Report*. Putrajaya.</w:t>
      </w:r>
    </w:p>
    <w:p>
      <w:pPr>
        <w:numPr>
          <w:ilvl w:val="0"/>
          <w:numId w:val="1001"/>
        </w:numPr>
        <w:pStyle w:val="Compact"/>
      </w:pPr>
      <w:r>
        <w:t xml:space="preserve">Pharmaceutical Society of Malaysia. (2023). *Urban Pharmacy Practice Survey: Kuala Lumpur Edition*.</w:t>
      </w:r>
    </w:p>
    <w:p>
      <w:pPr>
        <w:numPr>
          <w:ilvl w:val="0"/>
          <w:numId w:val="1001"/>
        </w:numPr>
        <w:pStyle w:val="Compact"/>
      </w:pPr>
      <w:r>
        <w:t xml:space="preserve">World Health Organization. (2019). *Medicines, Vaccines and Health Products in Southeast Asia*. Geneva.</w:t>
      </w:r>
    </w:p>
    <w:p>
      <w:pPr>
        <w:numPr>
          <w:ilvl w:val="0"/>
          <w:numId w:val="1001"/>
        </w:numPr>
        <w:pStyle w:val="Compact"/>
      </w:pPr>
      <w:r>
        <w:t xml:space="preserve">Saleh, N., &amp; Mohd, S. (2021). "Pharmacist Clinical Services Adoption in Malaysian Urban Settings." *Journal of Pharmacy Practice*, 34(5), 112-120.</w:t>
      </w:r>
    </w:p>
    <w:p>
      <w:pPr>
        <w:numPr>
          <w:ilvl w:val="0"/>
          <w:numId w:val="1001"/>
        </w:numPr>
        <w:pStyle w:val="Compact"/>
      </w:pPr>
      <w:r>
        <w:t xml:space="preserve">Malaysian Ministry of Health. (2016). *National Health Blueprint 2016–2035*. Putrajaya.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Pharmacist in Malaysia Kuala Lumpur: A Contemporary Dissertation</dc:title>
  <dc:creator/>
  <dc:language>en</dc:language>
  <cp:keywords/>
  <dcterms:created xsi:type="dcterms:W3CDTF">2025-12-10T18:00:04Z</dcterms:created>
  <dcterms:modified xsi:type="dcterms:W3CDTF">2025-12-10T18:00:04Z</dcterms:modified>
</cp:coreProperties>
</file>

<file path=docProps/custom.xml><?xml version="1.0" encoding="utf-8"?>
<Properties xmlns="http://schemas.openxmlformats.org/officeDocument/2006/custom-properties" xmlns:vt="http://schemas.openxmlformats.org/officeDocument/2006/docPropsVTypes"/>
</file>