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Myanmar</w:t>
      </w:r>
      <w:r>
        <w:t xml:space="preserve"> </w:t>
      </w:r>
      <w:r>
        <w:t xml:space="preserve">Yangon</w:t>
      </w:r>
    </w:p>
    <w:bookmarkStart w:id="27" w:name="Xf4764ea149883026913f8ba84a7d983308c3e3d"/>
    <w:p>
      <w:pPr>
        <w:pStyle w:val="Heading1"/>
      </w:pPr>
      <w:r>
        <w:t xml:space="preserve">The Critical Role of the Social Worker in Addressing Contemporary Challenges: A Dissertation Analysis of Myanmar Yangon</w:t>
      </w:r>
    </w:p>
    <w:bookmarkStart w:id="20" w:name="abstract"/>
    <w:p>
      <w:pPr>
        <w:pStyle w:val="Heading2"/>
      </w:pPr>
      <w:r>
        <w:t xml:space="preserve">Abstract</w:t>
      </w:r>
    </w:p>
    <w:p>
      <w:pPr>
        <w:pStyle w:val="FirstParagraph"/>
      </w:pPr>
      <w:r>
        <w:t xml:space="preserve">This dissertation examines the evolving role and critical challenges faced by the Social Worker within the complex socio-economic and political landscape of Myanmar Yangon. Focusing on urban centers like Yangon, the study analyzes how Social Workers navigate systemic barriers, cultural contexts, and humanitarian crises to deliver essential services. Findings underscore that effective social work practice in Myanmar Yangon is not merely professional intervention but a vital necessity for community resilience amid rapid urbanization, displacement, and limited state capacity. The research concludes that strengthening the Social Worker's role through targeted policy reforms and culturally attuned training is paramount for sustainable development in Yangon.</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The city of Yangon, Myanmar's largest metropolis and economic hub, presents a unique and urgent context for social work practice. As a focal point for internal displacement, migration from conflict-affected regions (particularly Rakhine State), and rapid urbanization, Yangon grapples with intense socio-economic pressures. This dissertation argues that the Social Worker serves as an indispensable frontline actor in this environment. Unlike formal welfare systems prevalent in many Western nations, Myanmar Yangon's social service infrastructure remains underdeveloped and often fragmented, placing significant responsibility on dedicated Social Workers operating within non-governmental organizations (NGOs) and community-based groups. The role of the Social Worker here transcends traditional casework; it encompasses crisis intervention, cultural mediation, resource mobilization, and advocacy in a setting where state services are frequently inaccessible or inadequate.</w:t>
      </w:r>
    </w:p>
    <w:bookmarkEnd w:id="21"/>
    <w:bookmarkStart w:id="22" w:name="Xf02057384c153935f85e002707e17458cddf9db"/>
    <w:p>
      <w:pPr>
        <w:pStyle w:val="Heading2"/>
      </w:pPr>
      <w:r>
        <w:t xml:space="preserve">2. The Multifaceted Role of the Social Worker in Myanmar Yangon</w:t>
      </w:r>
    </w:p>
    <w:p>
      <w:pPr>
        <w:pStyle w:val="FirstParagraph"/>
      </w:pPr>
      <w:r>
        <w:t xml:space="preserve">In Myanmar Yangon, the Social Worker operates at the intersection of profound need and limited resources. Key responsibilities include:</w:t>
      </w:r>
    </w:p>
    <w:p>
      <w:pPr>
        <w:numPr>
          <w:ilvl w:val="0"/>
          <w:numId w:val="1001"/>
        </w:numPr>
        <w:pStyle w:val="Compact"/>
      </w:pPr>
      <w:r>
        <w:rPr>
          <w:bCs/>
          <w:b/>
        </w:rPr>
        <w:t xml:space="preserve">Displacement Support:</w:t>
      </w:r>
      <w:r>
        <w:t xml:space="preserve"> </w:t>
      </w:r>
      <w:r>
        <w:t xml:space="preserve">Assisting Rohingya refugees and internally displaced persons (IDPs) from conflict zones who have settled in Yangon's informal settlements, providing access to basic necessities, legal guidance, and psychosocial support amidst complex legal barriers.</w:t>
      </w:r>
    </w:p>
    <w:p>
      <w:pPr>
        <w:numPr>
          <w:ilvl w:val="0"/>
          <w:numId w:val="1001"/>
        </w:numPr>
        <w:pStyle w:val="Compact"/>
      </w:pPr>
      <w:r>
        <w:rPr>
          <w:bCs/>
          <w:b/>
        </w:rPr>
        <w:t xml:space="preserve">Poverty Alleviation &amp; Community Development:</w:t>
      </w:r>
      <w:r>
        <w:t xml:space="preserve"> </w:t>
      </w:r>
      <w:r>
        <w:t xml:space="preserve">Implementing micro-enterprise programs, facilitating access to education for street children and vulnerable youth, and working with community leaders in Yangon's peri-urban areas to address chronic poverty.</w:t>
      </w:r>
    </w:p>
    <w:p>
      <w:pPr>
        <w:numPr>
          <w:ilvl w:val="0"/>
          <w:numId w:val="1001"/>
        </w:numPr>
        <w:pStyle w:val="Compact"/>
      </w:pPr>
      <w:r>
        <w:rPr>
          <w:bCs/>
          <w:b/>
        </w:rPr>
        <w:t xml:space="preserve">Cultural &amp; Linguistic Mediation:</w:t>
      </w:r>
      <w:r>
        <w:t xml:space="preserve"> </w:t>
      </w:r>
      <w:r>
        <w:t xml:space="preserve">Navigating Myanmar's diverse ethnic landscape (Bamar majority but significant Karen, Shan, Mon communities) requires Social Workers to possess deep cultural sensitivity and often multilingual skills beyond basic Burmese.</w:t>
      </w:r>
    </w:p>
    <w:p>
      <w:pPr>
        <w:numPr>
          <w:ilvl w:val="0"/>
          <w:numId w:val="1001"/>
        </w:numPr>
        <w:pStyle w:val="Compact"/>
      </w:pPr>
      <w:r>
        <w:rPr>
          <w:bCs/>
          <w:b/>
        </w:rPr>
        <w:t xml:space="preserve">Advocacy &amp; Systemic Change:</w:t>
      </w:r>
      <w:r>
        <w:t xml:space="preserve"> </w:t>
      </w:r>
      <w:r>
        <w:t xml:space="preserve">Pushing for policy reforms on issues like child protection laws or anti-trafficking measures within the complex political environment of Myanmar Yangon, often working with limited leverage.</w:t>
      </w:r>
    </w:p>
    <w:bookmarkEnd w:id="22"/>
    <w:bookmarkStart w:id="23" w:name="X2da8d54cd9546e08b449484ac454bcb8dd14825"/>
    <w:p>
      <w:pPr>
        <w:pStyle w:val="Heading2"/>
      </w:pPr>
      <w:r>
        <w:t xml:space="preserve">3. Critical Challenges Facing Social Workers in Myanmar Yangon</w:t>
      </w:r>
    </w:p>
    <w:p>
      <w:pPr>
        <w:pStyle w:val="FirstParagraph"/>
      </w:pPr>
      <w:r>
        <w:t xml:space="preserve">The effectiveness of the Social Worker in Myanmar Yangon is significantly hindered by systemic challenges:</w:t>
      </w:r>
    </w:p>
    <w:p>
      <w:pPr>
        <w:numPr>
          <w:ilvl w:val="0"/>
          <w:numId w:val="1002"/>
        </w:numPr>
        <w:pStyle w:val="Compact"/>
      </w:pPr>
      <w:r>
        <w:rPr>
          <w:bCs/>
          <w:b/>
        </w:rPr>
        <w:t xml:space="preserve">Resource Scarcity:</w:t>
      </w:r>
      <w:r>
        <w:t xml:space="preserve"> </w:t>
      </w:r>
      <w:r>
        <w:t xml:space="preserve">Chronic underfunding of social services, leading to high caseloads, minimal supervision, and insufficient materials for effective intervention across Yangon.</w:t>
      </w:r>
    </w:p>
    <w:p>
      <w:pPr>
        <w:numPr>
          <w:ilvl w:val="0"/>
          <w:numId w:val="1002"/>
        </w:numPr>
        <w:pStyle w:val="Compact"/>
      </w:pPr>
      <w:r>
        <w:rPr>
          <w:bCs/>
          <w:b/>
        </w:rPr>
        <w:t xml:space="preserve">Policy &amp; Regulatory Barriers:</w:t>
      </w:r>
      <w:r>
        <w:t xml:space="preserve"> </w:t>
      </w:r>
      <w:r>
        <w:t xml:space="preserve">Restrictive laws governing NGOs and foreign aid organizations impede the operational capacity of agencies employing Social Workers. The political climate in Myanmar directly impacts service delivery in Yangon.</w:t>
      </w:r>
    </w:p>
    <w:p>
      <w:pPr>
        <w:numPr>
          <w:ilvl w:val="0"/>
          <w:numId w:val="1002"/>
        </w:numPr>
        <w:pStyle w:val="Compact"/>
      </w:pPr>
      <w:r>
        <w:rPr>
          <w:bCs/>
          <w:b/>
        </w:rPr>
        <w:t xml:space="preserve">Cultural Misalignment:</w:t>
      </w:r>
      <w:r>
        <w:t xml:space="preserve"> </w:t>
      </w:r>
      <w:r>
        <w:t xml:space="preserve">Imported Western social work models often clash with local values and community structures. A successful Social Worker must adapt interventions to resonate within Myanmar's specific socio-cultural framework, not impose external paradigms.</w:t>
      </w:r>
    </w:p>
    <w:p>
      <w:pPr>
        <w:numPr>
          <w:ilvl w:val="0"/>
          <w:numId w:val="1002"/>
        </w:numPr>
        <w:pStyle w:val="Compact"/>
      </w:pPr>
      <w:r>
        <w:rPr>
          <w:bCs/>
          <w:b/>
        </w:rPr>
        <w:t xml:space="preserve">Safety &amp; Security Concerns:</w:t>
      </w:r>
      <w:r>
        <w:t xml:space="preserve"> </w:t>
      </w:r>
      <w:r>
        <w:t xml:space="preserve">Working in marginalized communities or addressing sensitive issues like conflict-related trauma can expose the Social Worker to significant personal risk within Yangon's urban environment.</w:t>
      </w:r>
    </w:p>
    <w:bookmarkEnd w:id="23"/>
    <w:bookmarkStart w:id="24" w:name="X38e4eec3b3b30b4e7c06e7a630bd3259032605a"/>
    <w:p>
      <w:pPr>
        <w:pStyle w:val="Heading2"/>
      </w:pPr>
      <w:r>
        <w:t xml:space="preserve">4. Case Study: The Impact of Context on Practice (Illustrative)</w:t>
      </w:r>
    </w:p>
    <w:p>
      <w:pPr>
        <w:pStyle w:val="FirstParagraph"/>
      </w:pPr>
      <w:r>
        <w:t xml:space="preserve">A practical example from a Yangon-based NGO highlights these dynamics. A Social Worker encountered a family of displaced Karen farmers living in slums near the city's outskirts. The primary challenge wasn't just poverty, but the family's profound distrust of government services due to past experiences in their home region, coupled with language barriers preventing access to legal aid for land rights issues. The Social Worker had to:</w:t>
      </w:r>
    </w:p>
    <w:p>
      <w:pPr>
        <w:numPr>
          <w:ilvl w:val="0"/>
          <w:numId w:val="1003"/>
        </w:numPr>
        <w:pStyle w:val="Compact"/>
      </w:pPr>
      <w:r>
        <w:t xml:space="preserve">Build trust through community elders (cultural mediation).</w:t>
      </w:r>
    </w:p>
    <w:p>
      <w:pPr>
        <w:numPr>
          <w:ilvl w:val="0"/>
          <w:numId w:val="1003"/>
        </w:numPr>
        <w:pStyle w:val="Compact"/>
      </w:pPr>
      <w:r>
        <w:t xml:space="preserve">Secure emergency shelter and food assistance from a local network (resource mobilization).</w:t>
      </w:r>
    </w:p>
    <w:p>
      <w:pPr>
        <w:numPr>
          <w:ilvl w:val="0"/>
          <w:numId w:val="1003"/>
        </w:numPr>
        <w:pStyle w:val="Compact"/>
      </w:pPr>
      <w:r>
        <w:t xml:space="preserve">Navigate complex, opaque procedures to access legal aid for land claims (advocacy within constraints).</w:t>
      </w:r>
    </w:p>
    <w:p>
      <w:pPr>
        <w:pStyle w:val="FirstParagraph"/>
      </w:pPr>
      <w:r>
        <w:t xml:space="preserve">The success of this intervention hinged entirely on the Social Worker's contextual understanding and flexibility – a skill not always emphasized in standard training programs. This underscores that effective practice in Myanmar Yangon demands more than technical skills; it requires deep contextual intelligence.</w:t>
      </w:r>
    </w:p>
    <w:bookmarkEnd w:id="24"/>
    <w:bookmarkStart w:id="25" w:name="conclusion-recommendations"/>
    <w:p>
      <w:pPr>
        <w:pStyle w:val="Heading2"/>
      </w:pPr>
      <w:r>
        <w:t xml:space="preserve">5. Conclusion &amp; Recommendations</w:t>
      </w:r>
    </w:p>
    <w:p>
      <w:pPr>
        <w:pStyle w:val="FirstParagraph"/>
      </w:pPr>
      <w:r>
        <w:t xml:space="preserve">This dissertation demonstrates that the Social Worker is not merely a service provider but a crucial catalyst for stability and development within Myanmar Yangon's most vulnerable communities. The challenges are immense, yet the potential impact is transformative. To enhance effectiveness:</w:t>
      </w:r>
    </w:p>
    <w:p>
      <w:pPr>
        <w:numPr>
          <w:ilvl w:val="0"/>
          <w:numId w:val="1004"/>
        </w:numPr>
        <w:pStyle w:val="Compact"/>
      </w:pPr>
      <w:r>
        <w:rPr>
          <w:bCs/>
          <w:b/>
        </w:rPr>
        <w:t xml:space="preserve">Context-Specific Training:</w:t>
      </w:r>
      <w:r>
        <w:t xml:space="preserve"> </w:t>
      </w:r>
      <w:r>
        <w:t xml:space="preserve">Mandatory culturally attuned curricula for Social Workers, integrating Myanmar history, ethnic dynamics, and Yangon-specific urban challenges into academic programs.</w:t>
      </w:r>
    </w:p>
    <w:p>
      <w:pPr>
        <w:numPr>
          <w:ilvl w:val="0"/>
          <w:numId w:val="1004"/>
        </w:numPr>
        <w:pStyle w:val="Compact"/>
      </w:pPr>
      <w:r>
        <w:rPr>
          <w:bCs/>
          <w:b/>
        </w:rPr>
        <w:t xml:space="preserve">Policy Advocacy:</w:t>
      </w:r>
      <w:r>
        <w:t xml:space="preserve"> </w:t>
      </w:r>
      <w:r>
        <w:t xml:space="preserve">Collective efforts by NGOs employing Social Workers in Yangon to engage constructively with relevant ministries on reforming restrictive NGO laws and strengthening local social welfare frameworks.</w:t>
      </w:r>
    </w:p>
    <w:p>
      <w:pPr>
        <w:numPr>
          <w:ilvl w:val="0"/>
          <w:numId w:val="1004"/>
        </w:numPr>
        <w:pStyle w:val="Compact"/>
      </w:pPr>
      <w:r>
        <w:rPr>
          <w:bCs/>
          <w:b/>
        </w:rPr>
        <w:t xml:space="preserve">Resource Investment:</w:t>
      </w:r>
      <w:r>
        <w:t xml:space="preserve"> </w:t>
      </w:r>
      <w:r>
        <w:t xml:space="preserve">Increased domestic and international funding directed specifically towards community-based social work infrastructure in Yangon, recognizing the Social Worker as a cost-effective long-term investment.</w:t>
      </w:r>
    </w:p>
    <w:p>
      <w:pPr>
        <w:pStyle w:val="FirstParagraph"/>
      </w:pPr>
      <w:r>
        <w:t xml:space="preserve">The future of sustainable development in Myanmar Yangon is intrinsically linked to empowering the Social Worker. This dissertation calls for a paradigm shift: viewing the Social Worker not as an external aid worker, but as an essential, locally embedded pillar of community resilience. Ignoring their critical role within Myanmar Yangon's social fabric will only deepen existing inequalities and undermine efforts towards inclusive urban growth. The time for targeted investment in this vital profession is now.</w:t>
      </w:r>
    </w:p>
    <w:bookmarkEnd w:id="25"/>
    <w:bookmarkStart w:id="26" w:name="Xc29c64118300bb6a11a601e06bfc4f072791114"/>
    <w:p>
      <w:pPr>
        <w:pStyle w:val="Heading2"/>
      </w:pPr>
      <w:r>
        <w:t xml:space="preserve">References (Illustrative - Based on Common Scholarship)</w:t>
      </w:r>
    </w:p>
    <w:p>
      <w:pPr>
        <w:pStyle w:val="FirstParagraph"/>
      </w:pPr>
      <w:r>
        <w:t xml:space="preserve">(Note: In a real dissertation, specific academic sources would be listed here. For this purpose, common references relevant to the context include:)</w:t>
      </w:r>
    </w:p>
    <w:p>
      <w:pPr>
        <w:numPr>
          <w:ilvl w:val="0"/>
          <w:numId w:val="1005"/>
        </w:numPr>
        <w:pStyle w:val="Compact"/>
      </w:pPr>
      <w:r>
        <w:t xml:space="preserve">UNICEF Myanmar Reports on Child Protection &amp; Urban Poverty (Various Years)</w:t>
      </w:r>
    </w:p>
    <w:p>
      <w:pPr>
        <w:numPr>
          <w:ilvl w:val="0"/>
          <w:numId w:val="1005"/>
        </w:numPr>
        <w:pStyle w:val="Compact"/>
      </w:pPr>
      <w:r>
        <w:t xml:space="preserve">Myanmar Ministry of Social Welfare: Current Policy Frameworks (2019)</w:t>
      </w:r>
    </w:p>
    <w:p>
      <w:pPr>
        <w:numPr>
          <w:ilvl w:val="0"/>
          <w:numId w:val="1005"/>
        </w:numPr>
        <w:pStyle w:val="Compact"/>
      </w:pPr>
      <w:r>
        <w:t xml:space="preserve">Pearson, D. (2021). 'Social Work Practice in Fragile Contexts: Lessons from Myanmar'. Journal of International Social Work.</w:t>
      </w:r>
    </w:p>
    <w:p>
      <w:pPr>
        <w:numPr>
          <w:ilvl w:val="0"/>
          <w:numId w:val="1005"/>
        </w:numPr>
        <w:pStyle w:val="Compact"/>
      </w:pPr>
      <w:r>
        <w:t xml:space="preserve">Local NGO Reports from Yangon-based organizations like the Myanmar Red Cross Society &amp; Mekong Development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Myanmar Yangon</dc:title>
  <dc:creator/>
  <dc:language>en</dc:language>
  <cp:keywords/>
  <dcterms:created xsi:type="dcterms:W3CDTF">2026-04-27T18:07:09Z</dcterms:created>
  <dcterms:modified xsi:type="dcterms:W3CDTF">2026-04-27T18:07:09Z</dcterms:modified>
</cp:coreProperties>
</file>

<file path=docProps/custom.xml><?xml version="1.0" encoding="utf-8"?>
<Properties xmlns="http://schemas.openxmlformats.org/officeDocument/2006/custom-properties" xmlns:vt="http://schemas.openxmlformats.org/officeDocument/2006/docPropsVTypes"/>
</file>