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6" w:name="X90f91e4f5547fc7dc254f4c54cc752752a18342"/>
    <w:p>
      <w:pPr>
        <w:pStyle w:val="Heading1"/>
      </w:pPr>
      <w:r>
        <w:t xml:space="preserve">Advancing Holistic Practice: A Dissertation on the Role and Challenges of the Social Worker in New Zealand Wellington</w:t>
      </w:r>
    </w:p>
    <w:p>
      <w:pPr>
        <w:pStyle w:val="FirstParagraph"/>
      </w:pPr>
      <w:r>
        <w:rPr>
          <w:bCs/>
          <w:b/>
        </w:rPr>
        <w:t xml:space="preserve">Abstract:</w:t>
      </w:r>
      <w:r>
        <w:t xml:space="preserve"> </w:t>
      </w:r>
      <w:r>
        <w:t xml:space="preserve">This dissertation critically examines the evolving role, professional challenges, and cultural imperatives facing the</w:t>
      </w:r>
      <w:r>
        <w:t xml:space="preserve"> </w:t>
      </w:r>
      <w:r>
        <w:rPr>
          <w:iCs/>
          <w:i/>
        </w:rPr>
        <w:t xml:space="preserve">Social Worker</w:t>
      </w:r>
      <w:r>
        <w:t xml:space="preserve"> </w:t>
      </w:r>
      <w:r>
        <w:t xml:space="preserve">within the unique socio-economic and cultural landscape of</w:t>
      </w:r>
      <w:r>
        <w:t xml:space="preserve"> </w:t>
      </w:r>
      <w:r>
        <w:rPr>
          <w:iCs/>
          <w:i/>
        </w:rPr>
        <w:t xml:space="preserve">New Zealand Wellington</w:t>
      </w:r>
      <w:r>
        <w:t xml:space="preserve">. Focusing on Wellington as a dynamic urban center with significant Māori and Pacific populations, rapid housing pressures, and complex community needs, this study argues that effective practice demands deep contextual understanding rooted in Te Tiriti o Waitangi principles, cultural humility, and responsive service delivery. Findings highlight the critical need for systemic support and culturally safe frameworks to empower the</w:t>
      </w:r>
      <w:r>
        <w:t xml:space="preserve"> </w:t>
      </w:r>
      <w:r>
        <w:rPr>
          <w:iCs/>
          <w:i/>
        </w:rPr>
        <w:t xml:space="preserve">Social Worker</w:t>
      </w:r>
      <w:r>
        <w:t xml:space="preserve"> </w:t>
      </w:r>
      <w:r>
        <w:t xml:space="preserve">to address inequities in Wellington's diverse communities.</w:t>
      </w:r>
    </w:p>
    <w:bookmarkStart w:id="20" w:name="introduction-the-wellington-context"/>
    <w:p>
      <w:pPr>
        <w:pStyle w:val="Heading2"/>
      </w:pPr>
      <w:r>
        <w:t xml:space="preserve">Introduction: The Wellington Context</w:t>
      </w:r>
    </w:p>
    <w:p>
      <w:pPr>
        <w:pStyle w:val="FirstParagraph"/>
      </w:pPr>
      <w:r>
        <w:t xml:space="preserve">New Zealand Wellington, the nation's capital and a vibrant hub of government, education, and cultural diversity, presents a distinct setting for social work practice. Home to over 450,000 residents across varied suburbs like Te Aro (urban renewal), Miramar (coastal communities), and Karori (affluent yet socio-economically mixed areas), Wellington faces intersecting challenges: a severe housing crisis, high rates of child poverty in certain districts, rising mental health demands post-pandemic, and the ongoing need for genuine partnership with Māori communities under Te Tiriti o Waitangi. Within this complex environment, the</w:t>
      </w:r>
      <w:r>
        <w:t xml:space="preserve"> </w:t>
      </w:r>
      <w:r>
        <w:rPr>
          <w:iCs/>
          <w:i/>
        </w:rPr>
        <w:t xml:space="preserve">Social Worker</w:t>
      </w:r>
      <w:r>
        <w:t xml:space="preserve"> </w:t>
      </w:r>
      <w:r>
        <w:t xml:space="preserve">is not merely a practitioner but a crucial catalyst for social justice and well-being. This dissertation explores how the</w:t>
      </w:r>
      <w:r>
        <w:t xml:space="preserve"> </w:t>
      </w:r>
      <w:r>
        <w:rPr>
          <w:iCs/>
          <w:i/>
        </w:rPr>
        <w:t xml:space="preserve">Social Worker</w:t>
      </w:r>
      <w:r>
        <w:t xml:space="preserve"> </w:t>
      </w:r>
      <w:r>
        <w:t xml:space="preserve">navigates these specific Wellington realities to fulfill their professional mandate.</w:t>
      </w:r>
    </w:p>
    <w:bookmarkEnd w:id="20"/>
    <w:bookmarkStart w:id="21" w:name="X6aa0c9386a239e27c3cdb4f4a8a16dcdf7f5d1a"/>
    <w:p>
      <w:pPr>
        <w:pStyle w:val="Heading2"/>
      </w:pPr>
      <w:r>
        <w:t xml:space="preserve">Cultural Competence as Non-Negotiable Practice</w:t>
      </w:r>
    </w:p>
    <w:p>
      <w:pPr>
        <w:pStyle w:val="FirstParagraph"/>
      </w:pPr>
      <w:r>
        <w:t xml:space="preserve">The cornerstone of effective social work in New Zealand, particularly in Wellington, is cultural competence grounded in Māori perspectives. The Social Workers Registration Board (SWRB) standards explicitly require adherence to Te Tiriti o Waitangi and the principles of partnership, participation, and protection. In Wellington's context, this means moving beyond generic training to deeply engage with local iwi such as Te Āti Awa and Ngāti Raukawa, understand the impact of urban displacement on whānau (families) in areas like Petone or Johnsonville, and actively incorporate concepts like whānau ora (family well-being) into assessment and intervention. A critical finding from this dissertation is that</w:t>
      </w:r>
      <w:r>
        <w:t xml:space="preserve"> </w:t>
      </w:r>
      <w:r>
        <w:rPr>
          <w:iCs/>
          <w:i/>
        </w:rPr>
        <w:t xml:space="preserve">Social Worker</w:t>
      </w:r>
      <w:r>
        <w:t xml:space="preserve"> </w:t>
      </w:r>
      <w:r>
        <w:t xml:space="preserve">effectiveness is directly proportional to their ability to decolonize practice, challenge systemic racism within services (e.g., in child welfare), and collaborate with Māori-led agencies like Te Whānau o Waipareira Trust or the Wellington Māori Health Provider. Failure to do so risks perpetuating harm within Wellington's most vulnerable populations.</w:t>
      </w:r>
    </w:p>
    <w:bookmarkEnd w:id="21"/>
    <w:bookmarkStart w:id="22" w:name="X60e65b6bb0bc8891dea160317a7916ca0e852d2"/>
    <w:p>
      <w:pPr>
        <w:pStyle w:val="Heading2"/>
      </w:pPr>
      <w:r>
        <w:t xml:space="preserve">Contemporary Challenges in the Wellington Environment</w:t>
      </w:r>
    </w:p>
    <w:p>
      <w:pPr>
        <w:pStyle w:val="FirstParagraph"/>
      </w:pPr>
      <w:r>
        <w:t xml:space="preserve">The specific challenges confronting the</w:t>
      </w:r>
      <w:r>
        <w:t xml:space="preserve"> </w:t>
      </w:r>
      <w:r>
        <w:rPr>
          <w:iCs/>
          <w:i/>
        </w:rPr>
        <w:t xml:space="preserve">Social Worker</w:t>
      </w:r>
      <w:r>
        <w:t xml:space="preserve"> </w:t>
      </w:r>
      <w:r>
        <w:t xml:space="preserve">in New Zealand Wellington are multifaceted and intensifying:</w:t>
      </w:r>
    </w:p>
    <w:p>
      <w:pPr>
        <w:numPr>
          <w:ilvl w:val="0"/>
          <w:numId w:val="1001"/>
        </w:numPr>
        <w:pStyle w:val="Compact"/>
      </w:pPr>
      <w:r>
        <w:rPr>
          <w:bCs/>
          <w:b/>
        </w:rPr>
        <w:t xml:space="preserve">Housing Emergency:</w:t>
      </w:r>
      <w:r>
        <w:t xml:space="preserve"> </w:t>
      </w:r>
      <w:r>
        <w:t xml:space="preserve">Wellington's acute housing shortage, with some of the highest rents nationally, directly impacts child protection cases (e.g., homelessness as a risk factor), family violence support needs, and mental health referrals. The Social Worker is often the first point of contact navigating complex pathways through Housing New Zealand and community providers like Housing Solutions Wellington.</w:t>
      </w:r>
    </w:p>
    <w:p>
      <w:pPr>
        <w:numPr>
          <w:ilvl w:val="0"/>
          <w:numId w:val="1001"/>
        </w:numPr>
        <w:pStyle w:val="Compact"/>
      </w:pPr>
      <w:r>
        <w:rPr>
          <w:bCs/>
          <w:b/>
        </w:rPr>
        <w:t xml:space="preserve">Resource Constraints &amp; Caseloads:</w:t>
      </w:r>
      <w:r>
        <w:t xml:space="preserve"> </w:t>
      </w:r>
      <w:r>
        <w:t xml:space="preserve">Government funding pressures lead to unsustainable caseloads (often exceeding recommended limits), reducing the time a</w:t>
      </w:r>
      <w:r>
        <w:t xml:space="preserve"> </w:t>
      </w:r>
      <w:r>
        <w:rPr>
          <w:iCs/>
          <w:i/>
        </w:rPr>
        <w:t xml:space="preserve">Social Worker</w:t>
      </w:r>
      <w:r>
        <w:t xml:space="preserve"> </w:t>
      </w:r>
      <w:r>
        <w:t xml:space="preserve">can spend on deep engagement with whānau or complex cases, particularly in public sector agencies like Oranga Tamariki and District Health Boards operating within Wellington.</w:t>
      </w:r>
    </w:p>
    <w:p>
      <w:pPr>
        <w:numPr>
          <w:ilvl w:val="0"/>
          <w:numId w:val="1001"/>
        </w:numPr>
        <w:pStyle w:val="Compact"/>
      </w:pPr>
      <w:r>
        <w:rPr>
          <w:bCs/>
          <w:b/>
        </w:rPr>
        <w:t xml:space="preserve">Urban Complexity:</w:t>
      </w:r>
      <w:r>
        <w:t xml:space="preserve"> </w:t>
      </w:r>
      <w:r>
        <w:t xml:space="preserve">The city's unique geography (hilly terrain, mixed urban/rural fringe) and the concentration of services in central areas create access barriers for clients in outlying suburbs like Porirua or lower-income inner-city neighborhoods. Digital literacy gaps also impact the reach of newer support models.</w:t>
      </w:r>
    </w:p>
    <w:p>
      <w:pPr>
        <w:numPr>
          <w:ilvl w:val="0"/>
          <w:numId w:val="1001"/>
        </w:numPr>
        <w:pStyle w:val="Compact"/>
      </w:pPr>
      <w:r>
        <w:rPr>
          <w:bCs/>
          <w:b/>
        </w:rPr>
        <w:t xml:space="preserve">Mental Health &amp; Trauma:</w:t>
      </w:r>
      <w:r>
        <w:t xml:space="preserve"> </w:t>
      </w:r>
      <w:r>
        <w:t xml:space="preserve">Post-pandemic mental health needs, particularly among youth and marginalized groups, have surged. The Social Worker must often provide immediate crisis support while connecting clients to fragmented mental health services within the Wellington region.</w:t>
      </w:r>
    </w:p>
    <w:bookmarkEnd w:id="22"/>
    <w:bookmarkStart w:id="23" w:name="X13cc718cd3ced8a217fdaa611310a01ec67529d"/>
    <w:p>
      <w:pPr>
        <w:pStyle w:val="Heading2"/>
      </w:pPr>
      <w:r>
        <w:t xml:space="preserve">Strategies for Effective Practice in Wellington</w:t>
      </w:r>
    </w:p>
    <w:p>
      <w:pPr>
        <w:pStyle w:val="FirstParagraph"/>
      </w:pPr>
      <w:r>
        <w:t xml:space="preserve">This dissertation identifies key strategies enabling the</w:t>
      </w:r>
      <w:r>
        <w:t xml:space="preserve"> </w:t>
      </w:r>
      <w:r>
        <w:rPr>
          <w:iCs/>
          <w:i/>
        </w:rPr>
        <w:t xml:space="preserve">Social Worker</w:t>
      </w:r>
      <w:r>
        <w:t xml:space="preserve"> </w:t>
      </w:r>
      <w:r>
        <w:t xml:space="preserve">to thrive and make meaningful impact in New Zealand Wellington:</w:t>
      </w:r>
    </w:p>
    <w:p>
      <w:pPr>
        <w:numPr>
          <w:ilvl w:val="0"/>
          <w:numId w:val="1002"/>
        </w:numPr>
        <w:pStyle w:val="Compact"/>
      </w:pPr>
      <w:r>
        <w:rPr>
          <w:bCs/>
          <w:b/>
        </w:rPr>
        <w:t xml:space="preserve">Culturally Embedded Assessment Tools:</w:t>
      </w:r>
      <w:r>
        <w:t xml:space="preserve"> </w:t>
      </w:r>
      <w:r>
        <w:t xml:space="preserve">Adopting tools like the Whānau Ora Assessment Framework, developed within Aotearoa but applicable across Wellington settings, ensures needs are understood within a whānau context, not just individual pathology.</w:t>
      </w:r>
    </w:p>
    <w:p>
      <w:pPr>
        <w:numPr>
          <w:ilvl w:val="0"/>
          <w:numId w:val="1002"/>
        </w:numPr>
        <w:pStyle w:val="Compact"/>
      </w:pPr>
      <w:r>
        <w:rPr>
          <w:bCs/>
          <w:b/>
        </w:rPr>
        <w:t xml:space="preserve">Strengthening Community Networks:</w:t>
      </w:r>
      <w:r>
        <w:t xml:space="preserve"> </w:t>
      </w:r>
      <w:r>
        <w:t xml:space="preserve">Actively building relationships with local community groups (e.g., Wairarapa Māori Health Association in the wider region, Pacific Island community centres like the Wellington City Council's Pacific Islands Development Agency), and social service providers (like Community Law Centres Wellington) creates a more robust safety net for clients.</w:t>
      </w:r>
    </w:p>
    <w:p>
      <w:pPr>
        <w:numPr>
          <w:ilvl w:val="0"/>
          <w:numId w:val="1002"/>
        </w:numPr>
        <w:pStyle w:val="Compact"/>
      </w:pPr>
      <w:r>
        <w:rPr>
          <w:bCs/>
          <w:b/>
        </w:rPr>
        <w:t xml:space="preserve">Advocacy &amp; Systemic Focus:</w:t>
      </w:r>
      <w:r>
        <w:t xml:space="preserve"> </w:t>
      </w:r>
      <w:r>
        <w:t xml:space="preserve">Moving beyond individual casework to advocate for systemic change – such as lobbying for increased affordable housing stock in Wellington, improved funding models for mental health services, or culturally safe child protection protocols – is essential. The Social Worker's voice is vital within Wellington's policy debates.</w:t>
      </w:r>
    </w:p>
    <w:p>
      <w:pPr>
        <w:numPr>
          <w:ilvl w:val="0"/>
          <w:numId w:val="1002"/>
        </w:numPr>
        <w:pStyle w:val="Compact"/>
      </w:pPr>
      <w:r>
        <w:rPr>
          <w:bCs/>
          <w:b/>
        </w:rPr>
        <w:t xml:space="preserve">Supervision &amp; Peer Support:</w:t>
      </w:r>
      <w:r>
        <w:t xml:space="preserve"> </w:t>
      </w:r>
      <w:r>
        <w:t xml:space="preserve">Robust clinical supervision focusing on cultural safety and managing vicarious trauma is paramount for the</w:t>
      </w:r>
      <w:r>
        <w:t xml:space="preserve"> </w:t>
      </w:r>
      <w:r>
        <w:rPr>
          <w:iCs/>
          <w:i/>
        </w:rPr>
        <w:t xml:space="preserve">Social Worker</w:t>
      </w:r>
      <w:r>
        <w:t xml:space="preserve"> </w:t>
      </w:r>
      <w:r>
        <w:t xml:space="preserve">working in a high-stress environment like Wellington, where burnout risks are elevated.</w:t>
      </w:r>
    </w:p>
    <w:bookmarkEnd w:id="23"/>
    <w:bookmarkStart w:id="24" w:name="conclusion-the-imperative-forward"/>
    <w:p>
      <w:pPr>
        <w:pStyle w:val="Heading2"/>
      </w:pPr>
      <w:r>
        <w:t xml:space="preserve">Conclusion: The Imperative Forward</w:t>
      </w:r>
    </w:p>
    <w:p>
      <w:pPr>
        <w:pStyle w:val="FirstParagraph"/>
      </w:pPr>
      <w:r>
        <w:t xml:space="preserve">This dissertation underscores that the role of the Social Worker in New Zealand Wellington is not static; it is dynamic, demanding, and profoundly significant. To effectively serve the diverse populations of Wellington – from whānau facing housing insecurity in Karaka Bay to Pacific youth navigating cultural identity in Johnsonville – Social Workers must be equipped with deep cultural knowledge, resilience against systemic pressures, and unwavering commitment to equity. The future of social work in Wellington hinges on investing in culturally safe practice frameworks, adequately resourcing the profession to manage caseloads and complex needs, and empowering Social Workers as agents of change within their communities. As this dissertation argues, the success of any</w:t>
      </w:r>
      <w:r>
        <w:t xml:space="preserve"> </w:t>
      </w:r>
      <w:r>
        <w:rPr>
          <w:iCs/>
          <w:i/>
        </w:rPr>
        <w:t xml:space="preserve">Dissertation</w:t>
      </w:r>
      <w:r>
        <w:t xml:space="preserve"> </w:t>
      </w:r>
      <w:r>
        <w:t xml:space="preserve">on New Zealand social work must ultimately be measured by its contribution to strengthening the capacity of the</w:t>
      </w:r>
      <w:r>
        <w:t xml:space="preserve"> </w:t>
      </w:r>
      <w:r>
        <w:rPr>
          <w:iCs/>
          <w:i/>
        </w:rPr>
        <w:t xml:space="preserve">Social Worker</w:t>
      </w:r>
      <w:r>
        <w:t xml:space="preserve"> </w:t>
      </w:r>
      <w:r>
        <w:t xml:space="preserve">to foster well-being for all people in Wellington.</w:t>
      </w:r>
    </w:p>
    <w:bookmarkEnd w:id="24"/>
    <w:bookmarkStart w:id="25" w:name="references-illustrative"/>
    <w:p>
      <w:pPr>
        <w:pStyle w:val="Heading2"/>
      </w:pPr>
      <w:r>
        <w:t xml:space="preserve">References (Illustrative)</w:t>
      </w:r>
    </w:p>
    <w:p>
      <w:pPr>
        <w:pStyle w:val="FirstParagraph"/>
      </w:pPr>
      <w:r>
        <w:t xml:space="preserve">Social Workers Registration Board (SWRB). (2019). *Social Work Practice: Code of Ethics and Standards*. Wellington: SWRB.</w:t>
      </w:r>
      <w:r>
        <w:br/>
      </w:r>
      <w:r>
        <w:t xml:space="preserve">Ministry of Health. (2019). *Te Whāriki: He whāriki mātauranga mo ngā mokopuna o Aotearoa, Early Childhood Curriculum*. Wellington.</w:t>
      </w:r>
      <w:r>
        <w:br/>
      </w:r>
      <w:r>
        <w:t xml:space="preserve">Te Pūtahi a Toi. (2023). *Wellington Social Service Needs Assessment Report*. Wellington City Council.</w:t>
      </w:r>
      <w:r>
        <w:br/>
      </w:r>
      <w:r>
        <w:t xml:space="preserve">Ministry of Social Development. (2021). *Wellington Regional Housing Action Plan*. Wellington.</w:t>
      </w:r>
      <w:r>
        <w:br/>
      </w:r>
      <w:r>
        <w:t xml:space="preserve">Ng, H., &amp; Tait, S. (Eds.). (2018). *Social Work in Aotearoa New Zealand: Contemporary Practice and Perspectives*. Pearson Education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New Zealand Wellington Context</dc:title>
  <dc:creator/>
  <dc:language>en</dc:language>
  <cp:keywords/>
  <dcterms:created xsi:type="dcterms:W3CDTF">2026-07-23T11:45:41Z</dcterms:created>
  <dcterms:modified xsi:type="dcterms:W3CDTF">2026-07-23T11:45:41Z</dcterms:modified>
</cp:coreProperties>
</file>

<file path=docProps/custom.xml><?xml version="1.0" encoding="utf-8"?>
<Properties xmlns="http://schemas.openxmlformats.org/officeDocument/2006/custom-properties" xmlns:vt="http://schemas.openxmlformats.org/officeDocument/2006/docPropsVTypes"/>
</file>