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Australia</w:t>
      </w:r>
      <w:r>
        <w:t xml:space="preserve"> </w:t>
      </w:r>
      <w:r>
        <w:t xml:space="preserve">Melbourne</w:t>
      </w:r>
    </w:p>
    <w:bookmarkStart w:id="25" w:name="Xcd378631ff71e3934d78a5461407ac6d26cbd05"/>
    <w:p>
      <w:pPr>
        <w:pStyle w:val="Heading1"/>
      </w:pPr>
      <w:r>
        <w:t xml:space="preserve">Dissertation on the Critical Role of Secondary Teachers within the Australian Educational Landscape: A Melbourne Perspective</w:t>
      </w:r>
    </w:p>
    <w:p>
      <w:pPr>
        <w:pStyle w:val="FirstParagraph"/>
      </w:pPr>
      <w:r>
        <w:rPr>
          <w:bCs/>
          <w:b/>
        </w:rPr>
        <w:t xml:space="preserve">Abstract:</w:t>
      </w:r>
      <w:r>
        <w:t xml:space="preserve"> </w:t>
      </w:r>
      <w:r>
        <w:t xml:space="preserve">This dissertation examines the multifaceted role and contemporary challenges faced by Teacher Secondary professionals operating within the specific educational ecosystem of Australia Melbourne. Focusing on Victoria's unique curriculum frameworks, demographic diversity, and policy environment, this research underscores the indispensable contribution of secondary educators in shaping student outcomes from Years 7 to 12. The analysis integrates current pedagogical demands, systemic pressures, and cultural contexts inherent to Melbourne's schools, positioning Teacher Secondary not merely as instructors but as pivotal architects of future civic engagement within Australia.</w:t>
      </w:r>
    </w:p>
    <w:bookmarkStart w:id="20" w:name="Xc0624cef0d944d39f887e6a6dadfe0acf17637d"/>
    <w:p>
      <w:pPr>
        <w:pStyle w:val="Heading2"/>
      </w:pPr>
      <w:r>
        <w:t xml:space="preserve">Introduction: Contextualising Teacher Secondary in Melbourne</w:t>
      </w:r>
    </w:p>
    <w:p>
      <w:pPr>
        <w:pStyle w:val="FirstParagraph"/>
      </w:pPr>
      <w:r>
        <w:t xml:space="preserve">The secondary education sector in Australia Melbourne represents a dynamic and demanding arena where Teacher Secondary professionals operate at the intersection of academic rigor, adolescent development, and societal transformation. Within the Victorian context governed by the Department of Education and Training (DET) and administered through the Victorian Curriculum and Assessment Authority (VCAA), secondary teachers shoulder responsibilities extending far beyond traditional classroom instruction. Melbourne's status as Australia's most populous and culturally diverse city – with over 40% of students speaking a language other than English at home – creates a uniquely complex teaching environment. This dissertation argues that the efficacy of Teacher Secondary in Melbourne directly correlates with the state's educational equity goals and its standing as a global hub for learning, necessitating specialised strategies distinct from other Australian regions.</w:t>
      </w:r>
    </w:p>
    <w:bookmarkEnd w:id="20"/>
    <w:bookmarkStart w:id="21" w:name="X30bd8e6c0f032a671b7526ee5c7853fb99d7262"/>
    <w:p>
      <w:pPr>
        <w:pStyle w:val="Heading2"/>
      </w:pPr>
      <w:r>
        <w:t xml:space="preserve">Core Challenges Facing Teacher Secondary in Melbourne</w:t>
      </w:r>
    </w:p>
    <w:p>
      <w:pPr>
        <w:pStyle w:val="FirstParagraph"/>
      </w:pPr>
      <w:r>
        <w:t xml:space="preserve">Teacher Secondary in Australia Melbourne confronts several systemic and contextual challenges. Firstly, pronounced teacher shortages, particularly in STEM (Science, Technology, Engineering, Mathematics) and special education disciplines within metropolitan schools, strain already overburdened faculties. Melbourne's rapid population growth has exacerbated this issue as new suburbs require immediate educational infrastructure expansion without proportional teacher recruitment. Secondly, the high levels of socio-economic diversity present profound pedagogical challenges; Teacher Secondary must navigate classrooms where students range from those with complex learning needs to high-achieving scholars preparing for the Victorian Certificate of Education (VCE). The Melbourne Declaration on Educational Goals for Young Australians further elevates expectations, demanding that educators actively foster capabilities like critical thinking and intercultural understanding – competencies vital in a city renowned for its multiculturalism.</w:t>
      </w:r>
    </w:p>
    <w:p>
      <w:pPr>
        <w:pStyle w:val="BodyText"/>
      </w:pPr>
      <w:r>
        <w:t xml:space="preserve">Additionally, evolving curricular mandates place significant pressure on Teacher Secondary. The implementation of the Victorian Curriculum F–10 (VCAA) alongside the VCE and VET pathways requires constant adaptation. Melbourne schools increasingly integrate digital literacy across all subjects, demanding teachers master new technologies while managing complex classroom dynamics – a reality central to this dissertation's analysis of modern Teacher Secondary practice.</w:t>
      </w:r>
    </w:p>
    <w:bookmarkEnd w:id="21"/>
    <w:bookmarkStart w:id="22" w:name="X0d9db3bcb8914b93949864cedf69bf340731d08"/>
    <w:p>
      <w:pPr>
        <w:pStyle w:val="Heading2"/>
      </w:pPr>
      <w:r>
        <w:t xml:space="preserve">Strategies for Enhanced Practice: Melbourne as a Laboratory for Innovation</w:t>
      </w:r>
    </w:p>
    <w:p>
      <w:pPr>
        <w:pStyle w:val="FirstParagraph"/>
      </w:pPr>
      <w:r>
        <w:t xml:space="preserve">Notwithstanding these challenges, Melbourne schools are pioneering strategies to empower Teacher Secondary. Professional development initiatives, often co-designed with the Victorian Institute of Teaching (VIT) and organisations like the Australian Catholic University (ACU), focus on culturally responsive pedagogy. For instance, programs addressing linguistic diversity directly support Teacher Secondary in multilingual classrooms across inner-city Melbourne suburbs such as Footscray and Richmond. Collaborative teaching models, where specialist Teacher Secondary work alongside learning support staff, are increasingly common in Melbourne's public schools to address individual student needs more effectively.</w:t>
      </w:r>
    </w:p>
    <w:p>
      <w:pPr>
        <w:pStyle w:val="BodyText"/>
      </w:pPr>
      <w:r>
        <w:t xml:space="preserve">Furthermore, the use of data-driven instruction is becoming integral to Melbourne's secondary education ethos. Teacher Secondary leverage platforms like the DET’s Victorian Education Data Dashboard to identify learning gaps and tailor interventions. This shift towards evidence-based practice, supported by robust systems within Australia's educational framework, positions Melbourne as a leader in adaptive teaching methodologies. Crucially, initiatives promoting teacher well-being – including flexible scheduling and mental health support networks – directly address burnout concerns identified in recent Victorian Department of Education surveys.</w:t>
      </w:r>
    </w:p>
    <w:bookmarkEnd w:id="22"/>
    <w:bookmarkStart w:id="24" w:name="X3f1701f1e1148013b84ba0952cd864c0ba1a70c"/>
    <w:p>
      <w:pPr>
        <w:pStyle w:val="Heading2"/>
      </w:pPr>
      <w:r>
        <w:t xml:space="preserve">Conclusion: The Enduring Significance of Teacher Secondary</w:t>
      </w:r>
    </w:p>
    <w:p>
      <w:pPr>
        <w:pStyle w:val="FirstParagraph"/>
      </w:pPr>
      <w:r>
        <w:t xml:space="preserve">This dissertation affirms that the role of Teacher Secondary within Australia Melbourne is not merely occupational but foundational to societal development. As Melbourne navigates its trajectory as a leading global city, the capacity of secondary educators to foster resilience, creativity, and academic excellence in diverse learners becomes paramount. The unique confluence of policy frameworks (like VCAA standards), demographic realities (Melbourne’s multicultural fabric), and pedagogical innovation creates an unparalleled context for Teacher Secondary to demonstrate leadership.</w:t>
      </w:r>
    </w:p>
    <w:p>
      <w:pPr>
        <w:pStyle w:val="BodyText"/>
      </w:pPr>
      <w:r>
        <w:t xml:space="preserve">Ultimately, investment in Teacher Secondary professional learning, retention strategies, and equitable resource allocation within Melbourne’s schools is an investment in Australia's future. This dissertation contends that the success of secondary education in Melbourne serves as a critical benchmark for the entire Australian system. By acknowledging the specific pressures and opportunities inherent to Teacher Secondary roles across Victoria's most dynamic urban setting, we can better support educators who are shaping tomorrow’s leaders – making this research not only academically rigorous but urgently relevant to policy-makers, school administrators, and educators themselves across Australia.</w:t>
      </w:r>
    </w:p>
    <w:bookmarkStart w:id="23" w:name="references-illustrative"/>
    <w:p>
      <w:pPr>
        <w:pStyle w:val="Heading3"/>
      </w:pPr>
      <w:r>
        <w:t xml:space="preserve">References (Illustrative)</w:t>
      </w:r>
    </w:p>
    <w:p>
      <w:pPr>
        <w:pStyle w:val="FirstParagraph"/>
      </w:pPr>
      <w:r>
        <w:t xml:space="preserve">Australian Curriculum Assessment and Reporting Authority (ACARA). (2023). *The Australian Curriculum: F–10*. Canberra.</w:t>
      </w:r>
      <w:r>
        <w:br/>
      </w:r>
      <w:r>
        <w:t xml:space="preserve">Victorian Department of Education. (2024). *Melbourne Schools Improvement Plan 2024–2026*. Melbourne.</w:t>
      </w:r>
      <w:r>
        <w:br/>
      </w:r>
      <w:r>
        <w:t xml:space="preserve">VCAA. (n.d.). *Victorian Certificate of Education (VCE) Guidelines*. Melbourne.</w:t>
      </w:r>
      <w:r>
        <w:br/>
      </w:r>
      <w:r>
        <w:t xml:space="preserve">Australian Institute for Teaching and School Leadership (AITSL). (2019). *National Professional Standards for Teachers*.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Australia Melbourne</dc:title>
  <dc:creator/>
  <dc:language>en</dc:language>
  <cp:keywords/>
  <dcterms:created xsi:type="dcterms:W3CDTF">2026-05-03T01:17:50Z</dcterms:created>
  <dcterms:modified xsi:type="dcterms:W3CDTF">2026-05-03T01:17:50Z</dcterms:modified>
</cp:coreProperties>
</file>

<file path=docProps/custom.xml><?xml version="1.0" encoding="utf-8"?>
<Properties xmlns="http://schemas.openxmlformats.org/officeDocument/2006/custom-properties" xmlns:vt="http://schemas.openxmlformats.org/officeDocument/2006/docPropsVTypes"/>
</file>