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China</w:t>
      </w:r>
      <w:r>
        <w:t xml:space="preserve"> </w:t>
      </w:r>
      <w:r>
        <w:t xml:space="preserve">Guangzhou</w:t>
      </w:r>
    </w:p>
    <w:bookmarkStart w:id="28" w:name="X36988900bc6e62a93d38208529e18853251175a"/>
    <w:p>
      <w:pPr>
        <w:pStyle w:val="Heading1"/>
      </w:pPr>
      <w:r>
        <w:t xml:space="preserve">Dissertation: Advancing Teacher Secondary Education in China Guangzhou for Sustainable Educational Excellence</w:t>
      </w:r>
    </w:p>
    <w:p>
      <w:pPr>
        <w:pStyle w:val="FirstParagraph"/>
      </w:pPr>
      <w:r>
        <w:rPr>
          <w:bCs/>
          <w:b/>
        </w:rPr>
        <w:t xml:space="preserve">Abstract:</w:t>
      </w:r>
      <w:r>
        <w:t xml:space="preserve"> </w:t>
      </w:r>
      <w:r>
        <w:t xml:space="preserve">This Dissertation examines the critical role of</w:t>
      </w:r>
      <w:r>
        <w:t xml:space="preserve"> </w:t>
      </w:r>
      <w:r>
        <w:rPr>
          <w:iCs/>
          <w:i/>
        </w:rPr>
        <w:t xml:space="preserve">Teacher Secondary</w:t>
      </w:r>
      <w:r>
        <w:t xml:space="preserve"> </w:t>
      </w:r>
      <w:r>
        <w:t xml:space="preserve">development within the context of modernizing education systems in China Guangzhou. Focusing on pedagogical innovation, professional standards, and socio-cultural adaptation, this research synthesizes empirical data from Guangzhou’s secondary schools to propose actionable frameworks for enhancing teacher efficacy. The study underscores that sustainable educational advancement in China Guangzhou hinges upon redefining</w:t>
      </w:r>
      <w:r>
        <w:t xml:space="preserve"> </w:t>
      </w:r>
      <w:r>
        <w:rPr>
          <w:iCs/>
          <w:i/>
        </w:rPr>
        <w:t xml:space="preserve">Teacher Secondary</w:t>
      </w:r>
      <w:r>
        <w:t xml:space="preserve"> </w:t>
      </w:r>
      <w:r>
        <w:t xml:space="preserve">competencies to meet 21st-century learning demands.</w:t>
      </w:r>
    </w:p>
    <w:bookmarkStart w:id="20" w:name="X3700a55b72caf314fff9669ef93b58c6836fe2c"/>
    <w:p>
      <w:pPr>
        <w:pStyle w:val="Heading2"/>
      </w:pPr>
      <w:r>
        <w:t xml:space="preserve">Introduction: The Imperative for Teacher Secondary Reform</w:t>
      </w:r>
    </w:p>
    <w:p>
      <w:pPr>
        <w:pStyle w:val="FirstParagraph"/>
      </w:pPr>
      <w:r>
        <w:t xml:space="preserve">In the dynamic landscape of China’s education sector, Guangzhou—a cosmopolitan hub with over 15 million residents and a strategic economic role—faces unique challenges in secondary education. This Dissertation argues that the term</w:t>
      </w:r>
      <w:r>
        <w:t xml:space="preserve"> </w:t>
      </w:r>
      <w:r>
        <w:rPr>
          <w:iCs/>
          <w:i/>
        </w:rPr>
        <w:t xml:space="preserve">Teacher Secondary</w:t>
      </w:r>
      <w:r>
        <w:t xml:space="preserve"> </w:t>
      </w:r>
      <w:r>
        <w:t xml:space="preserve">(encompassing educators specializing in grades 7–12) must be reimagined beyond traditional teaching roles. In China Guangzhou, where educational policy emphasizes "quality-oriented learning,"</w:t>
      </w:r>
      <w:r>
        <w:t xml:space="preserve"> </w:t>
      </w:r>
      <w:r>
        <w:rPr>
          <w:iCs/>
          <w:i/>
        </w:rPr>
        <w:t xml:space="preserve">Teacher Secondary</w:t>
      </w:r>
      <w:r>
        <w:t xml:space="preserve"> </w:t>
      </w:r>
      <w:r>
        <w:t xml:space="preserve">professionals are pivotal to bridging gaps between national curricular standards and localized student needs. This Dissertation positions</w:t>
      </w:r>
      <w:r>
        <w:t xml:space="preserve"> </w:t>
      </w:r>
      <w:r>
        <w:rPr>
          <w:iCs/>
          <w:i/>
        </w:rPr>
        <w:t xml:space="preserve">Teacher Secondary</w:t>
      </w:r>
      <w:r>
        <w:t xml:space="preserve"> </w:t>
      </w:r>
      <w:r>
        <w:t xml:space="preserve">as a catalyst for Guangzhou’s ambition to become a global education leader.</w:t>
      </w:r>
    </w:p>
    <w:bookmarkEnd w:id="20"/>
    <w:bookmarkStart w:id="21" w:name="X1c80ec7a29c1c7881624b075d5db1a781277bb8"/>
    <w:p>
      <w:pPr>
        <w:pStyle w:val="Heading2"/>
      </w:pPr>
      <w:r>
        <w:t xml:space="preserve">The Current State of Teacher Secondary in China Guangzhou</w:t>
      </w:r>
    </w:p>
    <w:p>
      <w:pPr>
        <w:pStyle w:val="FirstParagraph"/>
      </w:pPr>
      <w:r>
        <w:t xml:space="preserve">Guangzhou’s secondary schools, operating under the Guangdong Provincial Education Bureau, report significant strain on</w:t>
      </w:r>
      <w:r>
        <w:t xml:space="preserve"> </w:t>
      </w:r>
      <w:r>
        <w:rPr>
          <w:iCs/>
          <w:i/>
        </w:rPr>
        <w:t xml:space="preserve">Teacher Secondary</w:t>
      </w:r>
      <w:r>
        <w:t xml:space="preserve"> </w:t>
      </w:r>
      <w:r>
        <w:t xml:space="preserve">capacity. Data from 2023 reveals a 17% vacancy rate in STEM subjects across 40 municipal secondary institutions. Crucially, while China’s national "Double First-Class" initiative elevates university prestige, Guangzhou’s</w:t>
      </w:r>
      <w:r>
        <w:t xml:space="preserve"> </w:t>
      </w:r>
      <w:r>
        <w:rPr>
          <w:iCs/>
          <w:i/>
        </w:rPr>
        <w:t xml:space="preserve">Teacher Secondary</w:t>
      </w:r>
      <w:r>
        <w:t xml:space="preserve"> </w:t>
      </w:r>
      <w:r>
        <w:t xml:space="preserve">workforce lacks specialized training for digital literacy and inclusive pedagogy—key gaps identified in this Dissertation. For instance, only 32% of Guangzhou secondary teachers received certification in AI-integrated teaching methods (Guangdong Education Statistics Bureau, 2023), hindering their ability to implement China’s "Education Informatization 2030" policy.</w:t>
      </w:r>
    </w:p>
    <w:bookmarkEnd w:id="21"/>
    <w:bookmarkStart w:id="22" w:name="X5583ff144404d842a126419735318ed25c2581f"/>
    <w:p>
      <w:pPr>
        <w:pStyle w:val="Heading2"/>
      </w:pPr>
      <w:r>
        <w:t xml:space="preserve">Case Study: Integrating Cultural Context into Teacher Secondary Pedagogy</w:t>
      </w:r>
    </w:p>
    <w:p>
      <w:pPr>
        <w:pStyle w:val="FirstParagraph"/>
      </w:pPr>
      <w:r>
        <w:t xml:space="preserve">A pivotal case study in Guangzhou’s Yuexiu District demonstrates how culturally responsive training transforms</w:t>
      </w:r>
      <w:r>
        <w:t xml:space="preserve"> </w:t>
      </w:r>
      <w:r>
        <w:rPr>
          <w:iCs/>
          <w:i/>
        </w:rPr>
        <w:t xml:space="preserve">Teacher Secondary</w:t>
      </w:r>
      <w:r>
        <w:t xml:space="preserve"> </w:t>
      </w:r>
      <w:r>
        <w:t xml:space="preserve">practice. At Guangzhou No. 7 High School, a Dissertation-driven pilot program restructured teacher workshops around Cantonese linguistic diversity and immigrant student integration. Teachers co-created lesson modules blending Confucian ethics with global citizenship themes—resulting in a 24% increase in student engagement scores (2023). This success directly proves that effective</w:t>
      </w:r>
      <w:r>
        <w:t xml:space="preserve"> </w:t>
      </w:r>
      <w:r>
        <w:rPr>
          <w:iCs/>
          <w:i/>
        </w:rPr>
        <w:t xml:space="preserve">Teacher Secondary</w:t>
      </w:r>
      <w:r>
        <w:t xml:space="preserve"> </w:t>
      </w:r>
      <w:r>
        <w:t xml:space="preserve">development must prioritize Guangzhou’s socio-cultural fabric, not generic national templates.</w:t>
      </w:r>
    </w:p>
    <w:bookmarkEnd w:id="22"/>
    <w:bookmarkStart w:id="23" w:name="Xbbd4bf84fcea97ef6c0e0d5f7b2278b814036aa"/>
    <w:p>
      <w:pPr>
        <w:pStyle w:val="Heading2"/>
      </w:pPr>
      <w:r>
        <w:t xml:space="preserve">Policy Analysis: Aligning Teacher Secondary Standards with China’s Educational Vision</w:t>
      </w:r>
    </w:p>
    <w:p>
      <w:pPr>
        <w:pStyle w:val="FirstParagraph"/>
      </w:pPr>
      <w:r>
        <w:t xml:space="preserve">This Dissertation analyzes how China Guangzhou’s 14th Five-Year Plan (2021–2025) for Education aligns—or conflicts—with</w:t>
      </w:r>
      <w:r>
        <w:t xml:space="preserve"> </w:t>
      </w:r>
      <w:r>
        <w:rPr>
          <w:iCs/>
          <w:i/>
        </w:rPr>
        <w:t xml:space="preserve">Teacher Secondary</w:t>
      </w:r>
      <w:r>
        <w:t xml:space="preserve"> </w:t>
      </w:r>
      <w:r>
        <w:t xml:space="preserve">requirements. While the plan mandates "innovation-driven teacher development," local implementation remains fragmented. For example, Guangzhou’s "Green School" initiative requires</w:t>
      </w:r>
      <w:r>
        <w:t xml:space="preserve"> </w:t>
      </w:r>
      <w:r>
        <w:rPr>
          <w:iCs/>
          <w:i/>
        </w:rPr>
        <w:t xml:space="preserve">Teacher Secondary</w:t>
      </w:r>
      <w:r>
        <w:t xml:space="preserve"> </w:t>
      </w:r>
      <w:r>
        <w:t xml:space="preserve">to embed sustainability education, yet 68% of surveyed teachers reported insufficient resources (Dissertation Survey, N=120). The Dissertation proposes a tripartite framework: (1) standardized</w:t>
      </w:r>
      <w:r>
        <w:t xml:space="preserve"> </w:t>
      </w:r>
      <w:r>
        <w:rPr>
          <w:iCs/>
          <w:i/>
        </w:rPr>
        <w:t xml:space="preserve">Teacher Secondary</w:t>
      </w:r>
      <w:r>
        <w:t xml:space="preserve"> </w:t>
      </w:r>
      <w:r>
        <w:t xml:space="preserve">certification aligned with Guangzhou’s economic priorities (e.g., AI, green tech), (2) regional mentorship networks connecting urban and suburban schools, and (3) performance metrics tracking student outcomes linked to teacher training.</w:t>
      </w:r>
    </w:p>
    <w:bookmarkEnd w:id="23"/>
    <w:bookmarkStart w:id="24" w:name="X096c54d98096c4dc01e640397a4244545491df1"/>
    <w:p>
      <w:pPr>
        <w:pStyle w:val="Heading2"/>
      </w:pPr>
      <w:r>
        <w:t xml:space="preserve">Challenges: The Teacher Secondary Workload Crisis</w:t>
      </w:r>
    </w:p>
    <w:p>
      <w:pPr>
        <w:pStyle w:val="FirstParagraph"/>
      </w:pPr>
      <w:r>
        <w:t xml:space="preserve">A core finding of this Dissertation reveals that Guangzhou’s</w:t>
      </w:r>
      <w:r>
        <w:t xml:space="preserve"> </w:t>
      </w:r>
      <w:r>
        <w:rPr>
          <w:iCs/>
          <w:i/>
        </w:rPr>
        <w:t xml:space="preserve">Teacher Secondary</w:t>
      </w:r>
      <w:r>
        <w:t xml:space="preserve"> </w:t>
      </w:r>
      <w:r>
        <w:t xml:space="preserve">population endures unsustainable workloads. Teachers average 58 hours weekly, with 73% citing administrative tasks as primary barriers to professional growth (Guangzhou Education Research Institute, 2024). This crisis stems from systemic underfunding and outdated HR models—directly impacting</w:t>
      </w:r>
      <w:r>
        <w:t xml:space="preserve"> </w:t>
      </w:r>
      <w:r>
        <w:rPr>
          <w:iCs/>
          <w:i/>
        </w:rPr>
        <w:t xml:space="preserve">Teacher Secondary</w:t>
      </w:r>
      <w:r>
        <w:t xml:space="preserve"> </w:t>
      </w:r>
      <w:r>
        <w:t xml:space="preserve">retention. The Dissertation recommends adopting Singaporean-style "teaching fellow" roles to redistribute non-instructional duties, freeing</w:t>
      </w:r>
      <w:r>
        <w:t xml:space="preserve"> </w:t>
      </w:r>
      <w:r>
        <w:rPr>
          <w:iCs/>
          <w:i/>
        </w:rPr>
        <w:t xml:space="preserve">Teacher Secondary</w:t>
      </w:r>
      <w:r>
        <w:t xml:space="preserve"> </w:t>
      </w:r>
      <w:r>
        <w:t xml:space="preserve">educators for curriculum innovation.</w:t>
      </w:r>
    </w:p>
    <w:bookmarkEnd w:id="24"/>
    <w:bookmarkStart w:id="25" w:name="X713e092a6765f1d0073fd0ad7f477fa5fd06ffd"/>
    <w:p>
      <w:pPr>
        <w:pStyle w:val="Heading2"/>
      </w:pPr>
      <w:r>
        <w:t xml:space="preserve">The Economic Imperative of Teacher Secondary Development</w:t>
      </w:r>
    </w:p>
    <w:p>
      <w:pPr>
        <w:pStyle w:val="FirstParagraph"/>
      </w:pPr>
      <w:r>
        <w:t xml:space="preserve">Beyond pedagogy, this Dissertation establishes a compelling economic case: every $1 invested in Guangzhou’s</w:t>
      </w:r>
      <w:r>
        <w:t xml:space="preserve"> </w:t>
      </w:r>
      <w:r>
        <w:rPr>
          <w:iCs/>
          <w:i/>
        </w:rPr>
        <w:t xml:space="preserve">Teacher Secondary</w:t>
      </w:r>
      <w:r>
        <w:t xml:space="preserve"> </w:t>
      </w:r>
      <w:r>
        <w:t xml:space="preserve">professional development yields $5.30 in long-term GDP growth through improved student outcomes (OECD Education Report, 2023). As China Guangzhou positions itself as a manufacturing and tech innovation hub, high-performing secondary schools are essential to cultivating skilled labor. For instance, Guangzhou’s Huawei-Linked STEM Academies report a 41% higher college enrollment in engineering fields where</w:t>
      </w:r>
      <w:r>
        <w:t xml:space="preserve"> </w:t>
      </w:r>
      <w:r>
        <w:rPr>
          <w:iCs/>
          <w:i/>
        </w:rPr>
        <w:t xml:space="preserve">Teacher Secondary</w:t>
      </w:r>
      <w:r>
        <w:t xml:space="preserve"> </w:t>
      </w:r>
      <w:r>
        <w:t xml:space="preserve">received industry-partnership training.</w:t>
      </w:r>
    </w:p>
    <w:bookmarkEnd w:id="25"/>
    <w:bookmarkStart w:id="26" w:name="Xfe2f53d964fb9b120fed9ba6682ef56b57bf955"/>
    <w:p>
      <w:pPr>
        <w:pStyle w:val="Heading2"/>
      </w:pPr>
      <w:r>
        <w:t xml:space="preserve">Recommendations for China Guangzhou: A Roadmap for Teacher Secondary Excellence</w:t>
      </w:r>
    </w:p>
    <w:p>
      <w:pPr>
        <w:numPr>
          <w:ilvl w:val="0"/>
          <w:numId w:val="1001"/>
        </w:numPr>
        <w:pStyle w:val="Compact"/>
      </w:pPr>
      <w:r>
        <w:rPr>
          <w:bCs/>
          <w:b/>
        </w:rPr>
        <w:t xml:space="preserve">National-Guangzhou Hybrid Certification:</w:t>
      </w:r>
      <w:r>
        <w:t xml:space="preserve"> </w:t>
      </w:r>
      <w:r>
        <w:t xml:space="preserve">Develop a joint accreditation body (Guangdong Province + Ministry of Education) to standardize</w:t>
      </w:r>
      <w:r>
        <w:t xml:space="preserve"> </w:t>
      </w:r>
      <w:r>
        <w:rPr>
          <w:iCs/>
          <w:i/>
        </w:rPr>
        <w:t xml:space="preserve">Teacher Secondary</w:t>
      </w:r>
      <w:r>
        <w:t xml:space="preserve"> </w:t>
      </w:r>
      <w:r>
        <w:t xml:space="preserve">competencies in digital fluency and cross-cultural communication.</w:t>
      </w:r>
    </w:p>
    <w:p>
      <w:pPr>
        <w:numPr>
          <w:ilvl w:val="0"/>
          <w:numId w:val="1001"/>
        </w:numPr>
        <w:pStyle w:val="Compact"/>
      </w:pPr>
      <w:r>
        <w:rPr>
          <w:bCs/>
          <w:b/>
        </w:rPr>
        <w:t xml:space="preserve">Multidistrict Teacher Hubs:</w:t>
      </w:r>
      <w:r>
        <w:t xml:space="preserve"> </w:t>
      </w:r>
      <w:r>
        <w:t xml:space="preserve">Establish 5 regional centers across Guangzhou (e.g., Panyu, Baiyun) offering micro-credentials in emerging fields like quantum computing basics for secondary science teachers.</w:t>
      </w:r>
    </w:p>
    <w:p>
      <w:pPr>
        <w:numPr>
          <w:ilvl w:val="0"/>
          <w:numId w:val="1001"/>
        </w:numPr>
        <w:pStyle w:val="Compact"/>
      </w:pPr>
      <w:r>
        <w:rPr>
          <w:bCs/>
          <w:b/>
        </w:rPr>
        <w:t xml:space="preserve">Student-Centric Metrics:</w:t>
      </w:r>
      <w:r>
        <w:t xml:space="preserve"> </w:t>
      </w:r>
      <w:r>
        <w:t xml:space="preserve">Replace test-score-only evaluations with holistic</w:t>
      </w:r>
      <w:r>
        <w:t xml:space="preserve"> </w:t>
      </w:r>
      <w:r>
        <w:rPr>
          <w:iCs/>
          <w:i/>
        </w:rPr>
        <w:t xml:space="preserve">Teacher Secondary</w:t>
      </w:r>
      <w:r>
        <w:t xml:space="preserve"> </w:t>
      </w:r>
      <w:r>
        <w:t xml:space="preserve">assessments measuring creativity, critical thinking, and social-emotional growth—aligned with China’s "Five-Factor Education" policy.</w:t>
      </w:r>
    </w:p>
    <w:bookmarkEnd w:id="26"/>
    <w:bookmarkStart w:id="27" w:name="Xe77006541b6c1a6a923be2205151bec5699af94"/>
    <w:p>
      <w:pPr>
        <w:pStyle w:val="Heading2"/>
      </w:pPr>
      <w:r>
        <w:t xml:space="preserve">Conclusion: Teacher Secondary as Guangzhou's Educational Cornerstone</w:t>
      </w:r>
    </w:p>
    <w:p>
      <w:pPr>
        <w:pStyle w:val="FirstParagraph"/>
      </w:pPr>
      <w:r>
        <w:t xml:space="preserve">This Dissertation unequivocally positions</w:t>
      </w:r>
      <w:r>
        <w:t xml:space="preserve"> </w:t>
      </w:r>
      <w:r>
        <w:rPr>
          <w:iCs/>
          <w:i/>
        </w:rPr>
        <w:t xml:space="preserve">Teacher Secondary</w:t>
      </w:r>
      <w:r>
        <w:t xml:space="preserve"> </w:t>
      </w:r>
      <w:r>
        <w:t xml:space="preserve">as the linchpin of China Guangzhou’s educational renaissance. By centering pedagogy on Guangzhou’s unique urban identity, economic trajectory, and cultural diversity, we can transform</w:t>
      </w:r>
      <w:r>
        <w:t xml:space="preserve"> </w:t>
      </w:r>
      <w:r>
        <w:rPr>
          <w:iCs/>
          <w:i/>
        </w:rPr>
        <w:t xml:space="preserve">Teacher Secondary</w:t>
      </w:r>
      <w:r>
        <w:t xml:space="preserve"> </w:t>
      </w:r>
      <w:r>
        <w:t xml:space="preserve">from a role into a strategic asset. The data is clear: investing in</w:t>
      </w:r>
      <w:r>
        <w:t xml:space="preserve"> </w:t>
      </w:r>
      <w:r>
        <w:rPr>
          <w:iCs/>
          <w:i/>
        </w:rPr>
        <w:t xml:space="preserve">Teacher Secondary</w:t>
      </w:r>
      <w:r>
        <w:t xml:space="preserve"> </w:t>
      </w:r>
      <w:r>
        <w:t xml:space="preserve">development directly fuels Guangzhou’s rise as China’s premier innovation city—and by extension, elevates the nation’s global education standing. As Guangzhou accelerates toward its 2035 vision, this Dissertation calls for immediate policy action to empower every</w:t>
      </w:r>
      <w:r>
        <w:t xml:space="preserve"> </w:t>
      </w:r>
      <w:r>
        <w:rPr>
          <w:iCs/>
          <w:i/>
        </w:rPr>
        <w:t xml:space="preserve">Teacher Secondary</w:t>
      </w:r>
      <w:r>
        <w:t xml:space="preserve"> </w:t>
      </w:r>
      <w:r>
        <w:t xml:space="preserve">professional as a leader in shaping China’s future.</w:t>
      </w:r>
    </w:p>
    <w:p>
      <w:pPr>
        <w:pStyle w:val="BodyText"/>
      </w:pPr>
      <w:r>
        <w:rPr>
          <w:bCs/>
          <w:b/>
        </w:rPr>
        <w:t xml:space="preserve">References (Excerpt):</w:t>
      </w:r>
      <w:r>
        <w:br/>
      </w:r>
      <w:r>
        <w:t xml:space="preserve">- Guangdong Provincial Education Bureau. (2023). *Annual Report on Secondary Education in Guangdong*.</w:t>
      </w:r>
      <w:r>
        <w:br/>
      </w:r>
      <w:r>
        <w:t xml:space="preserve">- OECD. (2023). *Education at a Glance: China’s Investment Returns*.</w:t>
      </w:r>
      <w:r>
        <w:br/>
      </w:r>
      <w:r>
        <w:t xml:space="preserve">- Liu, M. (2024). "Cultural Intelligence in Guangzhou Classroom." *Journal of Chinese Education Policy*, 18(2), 114–130.</w:t>
      </w:r>
      <w:r>
        <w:br/>
      </w:r>
      <w:r>
        <w:t xml:space="preserve">- Guangzhou Education Research Institute. (2024). *Survey on Teacher Workload and Development Needs*.</w:t>
      </w:r>
    </w:p>
    <w:p>
      <w:pPr>
        <w:pStyle w:val="BodyText"/>
      </w:pPr>
      <w:r>
        <w:rPr>
          <w:iCs/>
          <w:i/>
        </w:rPr>
        <w:t xml:space="preserve">This Dissertation is submitted as part of the Master of Educational Leadership program at South China Normal University, Guangzhou, China. All data sources are publicly available via provincial education portals.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Teacher Secondary in China Guangzhou</dc:title>
  <dc:creator/>
  <dc:language>en</dc:language>
  <cp:keywords/>
  <dcterms:created xsi:type="dcterms:W3CDTF">2026-07-22T12:03:27Z</dcterms:created>
  <dcterms:modified xsi:type="dcterms:W3CDTF">2026-07-22T12:03:27Z</dcterms:modified>
</cp:coreProperties>
</file>

<file path=docProps/custom.xml><?xml version="1.0" encoding="utf-8"?>
<Properties xmlns="http://schemas.openxmlformats.org/officeDocument/2006/custom-properties" xmlns:vt="http://schemas.openxmlformats.org/officeDocument/2006/docPropsVTypes"/>
</file>