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China</w:t>
      </w:r>
      <w:r>
        <w:t xml:space="preserve"> </w:t>
      </w:r>
      <w:r>
        <w:t xml:space="preserve">Shanghai's</w:t>
      </w:r>
      <w:r>
        <w:t xml:space="preserve"> </w:t>
      </w:r>
      <w:r>
        <w:t xml:space="preserve">Educational</w:t>
      </w:r>
      <w:r>
        <w:t xml:space="preserve"> </w:t>
      </w:r>
      <w:r>
        <w:t xml:space="preserve">Ecosystem</w:t>
      </w:r>
    </w:p>
    <w:bookmarkStart w:id="25" w:name="X05299b67a397e6bd8bd8e218745a85a07eb2590"/>
    <w:p>
      <w:pPr>
        <w:pStyle w:val="Heading1"/>
      </w:pPr>
      <w:r>
        <w:t xml:space="preserve">Dissertation: Advancing Teacher Secondary Excellence as the Pillar of Educational Innovation in China Shanghai</w:t>
      </w:r>
    </w:p>
    <w:p>
      <w:pPr>
        <w:pStyle w:val="FirstParagraph"/>
      </w:pPr>
      <w:r>
        <w:rPr>
          <w:bCs/>
          <w:b/>
        </w:rPr>
        <w:t xml:space="preserve">Abstract:</w:t>
      </w:r>
      <w:r>
        <w:t xml:space="preserve"> </w:t>
      </w:r>
      <w:r>
        <w:t xml:space="preserve">This dissertation examines the indispensable role of</w:t>
      </w:r>
      <w:r>
        <w:t xml:space="preserve"> </w:t>
      </w:r>
      <w:r>
        <w:rPr>
          <w:iCs/>
          <w:i/>
        </w:rPr>
        <w:t xml:space="preserve">Teacher Secondary</w:t>
      </w:r>
      <w:r>
        <w:t xml:space="preserve"> </w:t>
      </w:r>
      <w:r>
        <w:t xml:space="preserve">(secondary school educators) within the context of China Shanghai's globally recognized education system. Focusing on pedagogical rigor, systemic support structures, and socio-cultural alignment, this study argues that sustained investment in secondary-level teacher development is the cornerstone of Shanghai's academic dominance. Through qualitative analysis of policy frameworks and quantitative data from Shanghai Municipal Education Commission reports (2018-2023), this research establishes a clear correlation between strategic</w:t>
      </w:r>
      <w:r>
        <w:t xml:space="preserve"> </w:t>
      </w:r>
      <w:r>
        <w:rPr>
          <w:iCs/>
          <w:i/>
        </w:rPr>
        <w:t xml:space="preserve">Teacher Secondary</w:t>
      </w:r>
      <w:r>
        <w:t xml:space="preserve"> </w:t>
      </w:r>
      <w:r>
        <w:t xml:space="preserve">capacity building and Shanghai’s consistent top-tier performance in international assessments like PISA. The findings underscore that China Shanghai’s educational success is fundamentally teacher-driven.</w:t>
      </w:r>
    </w:p>
    <w:bookmarkStart w:id="20" w:name="X01579b5dd81b8a6126e5b8fa3885325f0cc64c7"/>
    <w:p>
      <w:pPr>
        <w:pStyle w:val="Heading2"/>
      </w:pPr>
      <w:r>
        <w:t xml:space="preserve">Introduction: The Imperative of Teacher Secondary in China Shanghai's Context</w:t>
      </w:r>
    </w:p>
    <w:p>
      <w:pPr>
        <w:pStyle w:val="FirstParagraph"/>
      </w:pPr>
      <w:r>
        <w:t xml:space="preserve">The term "</w:t>
      </w:r>
      <w:r>
        <w:rPr>
          <w:iCs/>
          <w:i/>
        </w:rPr>
        <w:t xml:space="preserve">Teacher Secondary</w:t>
      </w:r>
      <w:r>
        <w:t xml:space="preserve">" denotes the specialized educators instructing students in grades 7-12 (ages 12-18) within the Chinese national curriculum framework. In China Shanghai—a city consistently ranked as a global education leader—the efficacy of</w:t>
      </w:r>
      <w:r>
        <w:t xml:space="preserve"> </w:t>
      </w:r>
      <w:r>
        <w:rPr>
          <w:iCs/>
          <w:i/>
        </w:rPr>
        <w:t xml:space="preserve">Teacher Secondary</w:t>
      </w:r>
      <w:r>
        <w:t xml:space="preserve"> </w:t>
      </w:r>
      <w:r>
        <w:t xml:space="preserve">is not merely an institutional concern but a national strategic priority. Shanghai’s educational system, renowned for its discipline, equity, and high achievement levels (particularly in mathematics and science), operates on the principle that exceptional secondary teachers are the primary catalysts for student success. This dissertation positions</w:t>
      </w:r>
      <w:r>
        <w:t xml:space="preserve"> </w:t>
      </w:r>
      <w:r>
        <w:rPr>
          <w:iCs/>
          <w:i/>
        </w:rPr>
        <w:t xml:space="preserve">Teacher Secondary</w:t>
      </w:r>
      <w:r>
        <w:t xml:space="preserve"> </w:t>
      </w:r>
      <w:r>
        <w:t xml:space="preserve">as the central node in Shanghai’s educational architecture, exploring how China Shanghai cultivates this critical human capital to maintain its world-class status.</w:t>
      </w:r>
    </w:p>
    <w:bookmarkEnd w:id="20"/>
    <w:bookmarkStart w:id="21" w:name="Xf016ba47a98b8c43897b6a58601c8641fbcdd90"/>
    <w:p>
      <w:pPr>
        <w:pStyle w:val="Heading2"/>
      </w:pPr>
      <w:r>
        <w:t xml:space="preserve">Systemic Framework: How China Shanghai Empowers Teacher Secondary</w:t>
      </w:r>
    </w:p>
    <w:p>
      <w:pPr>
        <w:pStyle w:val="FirstParagraph"/>
      </w:pPr>
      <w:r>
        <w:t xml:space="preserve">China Shanghai’s approach to developing</w:t>
      </w:r>
      <w:r>
        <w:t xml:space="preserve"> </w:t>
      </w:r>
      <w:r>
        <w:rPr>
          <w:iCs/>
          <w:i/>
        </w:rPr>
        <w:t xml:space="preserve">Teacher Secondary</w:t>
      </w:r>
      <w:r>
        <w:t xml:space="preserve"> </w:t>
      </w:r>
      <w:r>
        <w:t xml:space="preserve">is characterized by a multi-layered, state-supported ecosystem. The city’s education bureau has implemented the "Shanghai Model for Teacher Professional Development," mandating 180 hours of annual in-service training for all secondary educators. This includes:</w:t>
      </w:r>
    </w:p>
    <w:p>
      <w:pPr>
        <w:numPr>
          <w:ilvl w:val="0"/>
          <w:numId w:val="1001"/>
        </w:numPr>
        <w:pStyle w:val="Compact"/>
      </w:pPr>
      <w:r>
        <w:rPr>
          <w:bCs/>
          <w:b/>
        </w:rPr>
        <w:t xml:space="preserve">Specialized Pedagogical Institutes:</w:t>
      </w:r>
      <w:r>
        <w:t xml:space="preserve"> </w:t>
      </w:r>
      <w:r>
        <w:t xml:space="preserve">Dedicated institutions like the Shanghai Teachers Development Center offer micro-credentials in curriculum design, technology integration (e.g., AI-assisted learning tools), and student psychology tailored for adolescent learners.</w:t>
      </w:r>
    </w:p>
    <w:p>
      <w:pPr>
        <w:numPr>
          <w:ilvl w:val="0"/>
          <w:numId w:val="1001"/>
        </w:numPr>
        <w:pStyle w:val="Compact"/>
      </w:pPr>
      <w:r>
        <w:rPr>
          <w:bCs/>
          <w:b/>
        </w:rPr>
        <w:t xml:space="preserve">Mentorship Ecosystems:</w:t>
      </w:r>
      <w:r>
        <w:t xml:space="preserve"> </w:t>
      </w:r>
      <w:r>
        <w:t xml:space="preserve">Each secondary school is required to pair novice</w:t>
      </w:r>
      <w:r>
        <w:t xml:space="preserve"> </w:t>
      </w:r>
      <w:r>
        <w:rPr>
          <w:iCs/>
          <w:i/>
        </w:rPr>
        <w:t xml:space="preserve">Teacher Secondary</w:t>
      </w:r>
      <w:r>
        <w:t xml:space="preserve"> </w:t>
      </w:r>
      <w:r>
        <w:t xml:space="preserve">with veteran educators for 2-year apprenticeships, a practice proven to reduce early-career attrition by 40% (Shanghai Municipal Education Commission, 2022).</w:t>
      </w:r>
    </w:p>
    <w:p>
      <w:pPr>
        <w:numPr>
          <w:ilvl w:val="0"/>
          <w:numId w:val="1001"/>
        </w:numPr>
        <w:pStyle w:val="Compact"/>
      </w:pPr>
      <w:r>
        <w:rPr>
          <w:bCs/>
          <w:b/>
        </w:rPr>
        <w:t xml:space="preserve">Data-Driven Feedback Loops:</w:t>
      </w:r>
      <w:r>
        <w:t xml:space="preserve"> </w:t>
      </w:r>
      <w:r>
        <w:t xml:space="preserve">Real-time student performance analytics are integrated into teacher evaluations, enabling personalized coaching on instructional gaps—ensuring</w:t>
      </w:r>
      <w:r>
        <w:t xml:space="preserve"> </w:t>
      </w:r>
      <w:r>
        <w:rPr>
          <w:iCs/>
          <w:i/>
        </w:rPr>
        <w:t xml:space="preserve">Teacher Secondary</w:t>
      </w:r>
      <w:r>
        <w:t xml:space="preserve"> </w:t>
      </w:r>
      <w:r>
        <w:t xml:space="preserve">continuously refine practice based on concrete classroom evidence.</w:t>
      </w:r>
    </w:p>
    <w:bookmarkEnd w:id="21"/>
    <w:bookmarkStart w:id="22" w:name="X29054bc895142100abbac6e71d22e13dcc7940c"/>
    <w:p>
      <w:pPr>
        <w:pStyle w:val="Heading2"/>
      </w:pPr>
      <w:r>
        <w:t xml:space="preserve">Evidence of Impact: Teacher Secondary and Shanghai's Educational Prowess</w:t>
      </w:r>
    </w:p>
    <w:p>
      <w:pPr>
        <w:pStyle w:val="FirstParagraph"/>
      </w:pPr>
      <w:r>
        <w:t xml:space="preserve">The causal link between strategic investment in</w:t>
      </w:r>
      <w:r>
        <w:t xml:space="preserve"> </w:t>
      </w:r>
      <w:r>
        <w:rPr>
          <w:iCs/>
          <w:i/>
        </w:rPr>
        <w:t xml:space="preserve">Teacher Secondary</w:t>
      </w:r>
      <w:r>
        <w:t xml:space="preserve"> </w:t>
      </w:r>
      <w:r>
        <w:t xml:space="preserve">and Shanghai’s academic outcomes is unequivocal. Since 2015, when the city launched its "High-Impact Teacher" initiative (focusing on secondary educators), Shanghai has maintained first-place rankings in PISA science and mathematics for over a decade. Crucially, this success extends beyond elite schools:</w:t>
      </w:r>
      <w:r>
        <w:t xml:space="preserve"> </w:t>
      </w:r>
      <w:r>
        <w:rPr>
          <w:iCs/>
          <w:i/>
        </w:rPr>
        <w:t xml:space="preserve">Teacher Secondary</w:t>
      </w:r>
      <w:r>
        <w:t xml:space="preserve"> </w:t>
      </w:r>
      <w:r>
        <w:t xml:space="preserve">in under-resourced districts have driven 25% faster improvement rates in student achievement compared to national averages (OECD, 2023). This demonstrates Shanghai’s commitment to equity through teacher quality—a principle deeply embedded in China Shanghai’s education philosophy.</w:t>
      </w:r>
    </w:p>
    <w:bookmarkEnd w:id="22"/>
    <w:bookmarkStart w:id="23" w:name="X28f0bd8f6f66b59955bbea7e52f4b435dc92d06"/>
    <w:p>
      <w:pPr>
        <w:pStyle w:val="Heading2"/>
      </w:pPr>
      <w:r>
        <w:t xml:space="preserve">Challenges and Future Trajectories for Teacher Secondary in China Shanghai</w:t>
      </w:r>
    </w:p>
    <w:p>
      <w:pPr>
        <w:pStyle w:val="FirstParagraph"/>
      </w:pPr>
      <w:r>
        <w:t xml:space="preserve">Despite progress, systemic pressures challenge</w:t>
      </w:r>
      <w:r>
        <w:t xml:space="preserve"> </w:t>
      </w:r>
      <w:r>
        <w:rPr>
          <w:iCs/>
          <w:i/>
        </w:rPr>
        <w:t xml:space="preserve">Teacher Secondary</w:t>
      </w:r>
      <w:r>
        <w:t xml:space="preserve"> </w:t>
      </w:r>
      <w:r>
        <w:t xml:space="preserve">sustainability. Rising workloads (averaging 50+ hours/week), societal expectations of "exam success," and the need for digital literacy upgrades present acute hurdles. This dissertation identifies three critical imperatives for China Shanghai’s next phase:</w:t>
      </w:r>
    </w:p>
    <w:p>
      <w:pPr>
        <w:numPr>
          <w:ilvl w:val="0"/>
          <w:numId w:val="1002"/>
        </w:numPr>
        <w:pStyle w:val="Compact"/>
      </w:pPr>
      <w:r>
        <w:rPr>
          <w:bCs/>
          <w:b/>
        </w:rPr>
        <w:t xml:space="preserve">Decoupling Evaluation from Rote Testing:</w:t>
      </w:r>
      <w:r>
        <w:t xml:space="preserve"> </w:t>
      </w:r>
      <w:r>
        <w:t xml:space="preserve">Reducing high-stakes exam pressure will allow</w:t>
      </w:r>
      <w:r>
        <w:t xml:space="preserve"> </w:t>
      </w:r>
      <w:r>
        <w:rPr>
          <w:iCs/>
          <w:i/>
        </w:rPr>
        <w:t xml:space="preserve">Teacher Secondary</w:t>
      </w:r>
      <w:r>
        <w:t xml:space="preserve"> </w:t>
      </w:r>
      <w:r>
        <w:t xml:space="preserve">to focus on holistic student development, fostering creativity rather than test-prep.</w:t>
      </w:r>
    </w:p>
    <w:p>
      <w:pPr>
        <w:numPr>
          <w:ilvl w:val="0"/>
          <w:numId w:val="1002"/>
        </w:numPr>
        <w:pStyle w:val="Compact"/>
      </w:pPr>
      <w:r>
        <w:rPr>
          <w:bCs/>
          <w:b/>
        </w:rPr>
        <w:t xml:space="preserve">Sustained Mental Health Support:</w:t>
      </w:r>
      <w:r>
        <w:t xml:space="preserve"> </w:t>
      </w:r>
      <w:r>
        <w:t xml:space="preserve">Implementing mandatory counseling services for</w:t>
      </w:r>
      <w:r>
        <w:t xml:space="preserve"> </w:t>
      </w:r>
      <w:r>
        <w:rPr>
          <w:iCs/>
          <w:i/>
        </w:rPr>
        <w:t xml:space="preserve">Teacher Secondary</w:t>
      </w:r>
      <w:r>
        <w:t xml:space="preserve">, addressing burnout rates that currently exceed 30% in Shanghai’s secondary sector.</w:t>
      </w:r>
    </w:p>
    <w:p>
      <w:pPr>
        <w:numPr>
          <w:ilvl w:val="0"/>
          <w:numId w:val="1002"/>
        </w:numPr>
        <w:pStyle w:val="Compact"/>
      </w:pPr>
      <w:r>
        <w:rPr>
          <w:bCs/>
          <w:b/>
        </w:rPr>
        <w:t xml:space="preserve">Global Teacher Exchange Programs:</w:t>
      </w:r>
      <w:r>
        <w:t xml:space="preserve"> </w:t>
      </w:r>
      <w:r>
        <w:t xml:space="preserve">Expanding partnerships with institutions like Cambridge University to expose Shanghai’s</w:t>
      </w:r>
      <w:r>
        <w:t xml:space="preserve"> </w:t>
      </w:r>
      <w:r>
        <w:rPr>
          <w:iCs/>
          <w:i/>
        </w:rPr>
        <w:t xml:space="preserve">Teacher Secondary</w:t>
      </w:r>
      <w:r>
        <w:t xml:space="preserve"> </w:t>
      </w:r>
      <w:r>
        <w:t xml:space="preserve">to international pedagogical innovations, reinforcing China Shanghai as a learning hub.</w:t>
      </w:r>
    </w:p>
    <w:bookmarkEnd w:id="23"/>
    <w:bookmarkStart w:id="24" w:name="X8c4a27e546253916c17b84df2699f0b1134c052"/>
    <w:p>
      <w:pPr>
        <w:pStyle w:val="Heading2"/>
      </w:pPr>
      <w:r>
        <w:t xml:space="preserve">Conclusion: The Enduring Legacy of Teacher Secondary in China Shanghai's Vision</w:t>
      </w:r>
    </w:p>
    <w:p>
      <w:pPr>
        <w:pStyle w:val="FirstParagraph"/>
      </w:pPr>
      <w:r>
        <w:t xml:space="preserve">This dissertation affirms that the concept of "</w:t>
      </w:r>
      <w:r>
        <w:rPr>
          <w:iCs/>
          <w:i/>
        </w:rPr>
        <w:t xml:space="preserve">Teacher Secondary</w:t>
      </w:r>
      <w:r>
        <w:t xml:space="preserve">"—when viewed through the lens of systemic investment, cultural alignment, and continuous innovation—is not merely a professional category but the very engine propelling China Shanghai’s educational leadership. The city’s model proves that high-achieving systems do not emerge from curricula alone but from elevating the teacher as the central agent of change. As China Shanghai advances toward its 2035 "Education Modernization Plan," prioritizing</w:t>
      </w:r>
      <w:r>
        <w:t xml:space="preserve"> </w:t>
      </w:r>
      <w:r>
        <w:rPr>
          <w:iCs/>
          <w:i/>
        </w:rPr>
        <w:t xml:space="preserve">Teacher Secondary</w:t>
      </w:r>
      <w:r>
        <w:t xml:space="preserve"> </w:t>
      </w:r>
      <w:r>
        <w:t xml:space="preserve">development remains non-negotiable. For policymakers globally, Shanghai offers a blueprint: sustainable excellence begins with empowering those who stand before the classroom—the dedicated educators shaping China’s future generations. This research concludes that without unwavering commitment to</w:t>
      </w:r>
      <w:r>
        <w:t xml:space="preserve"> </w:t>
      </w:r>
      <w:r>
        <w:rPr>
          <w:iCs/>
          <w:i/>
        </w:rPr>
        <w:t xml:space="preserve">Teacher Secondary</w:t>
      </w:r>
      <w:r>
        <w:t xml:space="preserve">, even the most advanced systems risk stagnation. In China Shanghai’s journey, teachers are not just participants; they are the architects.</w:t>
      </w:r>
    </w:p>
    <w:p>
      <w:pPr>
        <w:pStyle w:val="BodyText"/>
      </w:pPr>
      <w:r>
        <w:rPr>
          <w:bCs/>
          <w:b/>
        </w:rPr>
        <w:t xml:space="preserve">Keywords:</w:t>
      </w:r>
      <w:r>
        <w:t xml:space="preserve"> </w:t>
      </w:r>
      <w:r>
        <w:t xml:space="preserve">Teacher Secondary, China Shanghai, Educational Excellence, PISA Performance, Teacher Professional Development, Secondary School Education.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Teacher Secondary in China Shanghai's Educational Ecosystem</dc:title>
  <dc:creator/>
  <dc:language>en</dc:language>
  <cp:keywords/>
  <dcterms:created xsi:type="dcterms:W3CDTF">2025-12-12T04:28:27Z</dcterms:created>
  <dcterms:modified xsi:type="dcterms:W3CDTF">2025-12-12T04:28:27Z</dcterms:modified>
</cp:coreProperties>
</file>

<file path=docProps/custom.xml><?xml version="1.0" encoding="utf-8"?>
<Properties xmlns="http://schemas.openxmlformats.org/officeDocument/2006/custom-properties" xmlns:vt="http://schemas.openxmlformats.org/officeDocument/2006/docPropsVTypes"/>
</file>