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Colombia</w:t>
      </w:r>
      <w:r>
        <w:t xml:space="preserve"> </w:t>
      </w:r>
      <w:r>
        <w:t xml:space="preserve">Bogotá</w:t>
      </w:r>
    </w:p>
    <w:bookmarkStart w:id="20" w:name="X6e5c6ae32fe9e30b1618674d8a0b6baf004ff22"/>
    <w:p>
      <w:pPr>
        <w:pStyle w:val="Heading1"/>
      </w:pPr>
      <w:r>
        <w:t xml:space="preserve">Dissertation on the Role and Development of Teacher Secondary in Colombia Bogotá: A Critical Analysis for Educational Transformation</w:t>
      </w:r>
    </w:p>
    <w:p>
      <w:pPr>
        <w:pStyle w:val="FirstParagraph"/>
      </w:pPr>
      <w:r>
        <w:rPr>
          <w:bCs/>
          <w:b/>
        </w:rPr>
        <w:t xml:space="preserve">Introduction: Contextualizing Teacher Secondary in Colombia's Urban Educational Landscape</w:t>
      </w:r>
    </w:p>
    <w:p>
      <w:pPr>
        <w:pStyle w:val="BodyText"/>
      </w:pPr>
      <w:r>
        <w:t xml:space="preserve">The educational ecosystem of Bogotá, Colombia's political and cultural capital, stands at a pivotal juncture where the efficacy of secondary education directly shapes national development trajectories. This dissertation critically examines the multifaceted role of</w:t>
      </w:r>
      <w:r>
        <w:t xml:space="preserve"> </w:t>
      </w:r>
      <w:r>
        <w:rPr>
          <w:iCs/>
          <w:i/>
        </w:rPr>
        <w:t xml:space="preserve">Teacher Secondary</w:t>
      </w:r>
      <w:r>
        <w:t xml:space="preserve">—a specialized educator in Colombia’s middle and high school systems—as an indispensable catalyst for academic excellence and social equity within Bogotá's diverse urban context. With over 40% of Colombia's secondary students enrolled in Bogotá’s public schools, the performance of Teacher Secondary transcends individual classrooms, influencing regional innovation capacity and reducing socioeconomic disparities. As Colombia strives to meet SDG 4 (Quality Education) targets by 2030, understanding the structural challenges and opportunities for Teacher Secondary becomes not merely academic but a matter of national urgency. This research adopts Bogotá as a microcosm to analyze how policy, professional development, and community engagement converge—or collide—to determine the quality of secondary education in one of Latin America's most complex urban environments.</w:t>
      </w:r>
    </w:p>
    <w:p>
      <w:pPr>
        <w:pStyle w:val="BodyText"/>
      </w:pPr>
      <w:r>
        <w:rPr>
          <w:bCs/>
          <w:b/>
        </w:rPr>
        <w:t xml:space="preserve">Defining Teacher Secondary: Beyond Pedagogical Practice in Colombia</w:t>
      </w:r>
    </w:p>
    <w:p>
      <w:pPr>
        <w:pStyle w:val="BodyText"/>
      </w:pPr>
      <w:r>
        <w:t xml:space="preserve">In Colombian educational terminology, "Teacher Secondary" specifically denotes educators certified to teach grades 7–11 (ages 12–18), operating under the Ministry of Education's national curriculum framework. Unlike primary teachers, Teacher Secondary must navigate complex disciplinary content while addressing adolescent developmental needs in Bogotá’s socioeconomically stratified landscape. This dissertation emphasizes that Teacher Secondary is not a passive role but an active agent in Colombia’s "Educación para la Vida" (Education for Life) initiative, which mandates holistic student development—integrating academic rigor with civic responsibility. In Bogotá, where 65% of public secondary schools operate below adequate infrastructure standards (UNICEF, 2023), Teacher Secondary assumes dual responsibilities: delivering standardized curricula while mitigating systemic gaps through community-based interventions. For instance, in neighborhoods like Kennedy or Ciudad Bolívar, Teacher Secondary often coordinates with social workers to address food insecurity or violence exposure—transforming the classroom into a safety net for vulnerable youth.</w:t>
      </w:r>
    </w:p>
    <w:p>
      <w:pPr>
        <w:pStyle w:val="BodyText"/>
      </w:pPr>
      <w:r>
        <w:rPr>
          <w:bCs/>
          <w:b/>
        </w:rPr>
        <w:t xml:space="preserve">Structural Challenges: The Bogotá Reality</w:t>
      </w:r>
    </w:p>
    <w:p>
      <w:pPr>
        <w:pStyle w:val="BodyText"/>
      </w:pPr>
      <w:r>
        <w:t xml:space="preserve">Despite Colombia’s 2018 Education Law (Ley 1947) prioritizing teacher quality, Teacher Secondary in Bogotá confronts systemic barriers that undermine educational equity. First, resource allocation remains deeply unequal: while private schools like Elvira Gutiérrez offer advanced STEM labs, public institutions such as Colegio Distrital Juan de la Cruz face overcrowded classrooms (45+ students per teacher) and outdated materials. A 2023 Bogotá City Council report revealed that 78% of Teacher Secondary in public schools reported insufficient textbooks for core subjects like Chemistry and Economics—directly correlating with Bogotá’s national ranking of 19th in secondary STEM proficiency (PISA). Second, professional development gaps persist; only 32% of Teacher Secondary participated in curriculum reform training since 2020, leaving them unprepared to implement Colombia’s new "Competencies for Life" framework. Crucially, Bogotá’s rapid urbanization has strained teacher retention: the city loses 18% of its Teacher Secondary workforce annually to higher-paying sectors or neighboring municipalities—a crisis exacerbated by salaries averaging 30% below regional median wages.</w:t>
      </w:r>
    </w:p>
    <w:p>
      <w:pPr>
        <w:pStyle w:val="BodyText"/>
      </w:pPr>
      <w:r>
        <w:rPr>
          <w:bCs/>
          <w:b/>
        </w:rPr>
        <w:t xml:space="preserve">Case Study: Transformative Models in Bogotá</w:t>
      </w:r>
    </w:p>
    <w:p>
      <w:pPr>
        <w:pStyle w:val="BodyText"/>
      </w:pPr>
      <w:r>
        <w:t xml:space="preserve">This dissertation highlights three pioneering initiatives where Teacher Secondary catalyzed change. In the community of Bosa, the "Aprendizaje por Proyectos" (Learning by Projects) program trained Teacher Secondary to co-design sustainability projects with students—transforming schoolyards into urban farms while teaching environmental science. Within two years, participating schools saw a 25% increase in student attendance and a 40% rise in local civic engagement metrics. Similarly, at Colegio Nuestra Señora de la Esperanza (Bogotá), Teacher Secondary led digital literacy workshops using recycled tablets, bridging the city’s notorious "digital divide" for low-income students. Critically, these successes shared common threads: participatory policy design (e.g., Teacher Secondary advising Bogotá’s Education Secretary on curriculum adaptations) and community partnerships with NGOs like Fundación Crecer. As one Teacher Secondary in La Calera remarked: "We aren’t just teaching algebra—we’re building trust in neighborhoods where education has been historically neglected."</w:t>
      </w:r>
    </w:p>
    <w:p>
      <w:pPr>
        <w:pStyle w:val="BodyText"/>
      </w:pPr>
      <w:r>
        <w:rPr>
          <w:bCs/>
          <w:b/>
        </w:rPr>
        <w:t xml:space="preserve">Policy Imperatives for Colombia Bogotá</w:t>
      </w:r>
    </w:p>
    <w:p>
      <w:pPr>
        <w:pStyle w:val="BodyText"/>
      </w:pPr>
      <w:r>
        <w:t xml:space="preserve">To elevate Teacher Secondary from reactive to transformative agents, this dissertation proposes three evidence-based strategies. First, Bogotá must implement a "Teacher Secondary Equity Fund," allocating 15% of district education budgets directly to public school resource gaps—prioritizing textbooks, technology, and mental health support. Second, Colombia’s Ministry of Education should mandate mandatory pedagogical training on urban vulnerability (e.g., trauma-informed teaching) for all Teacher Secondary certifications—a model already piloted in Bogotá’s "Escuelas de Paz" (Schools of Peace) initiative. Third, Bogotá must establish a collaborative governance structure where Teacher Secondary sit on city education councils with voting rights, ensuring policies reflect classroom realities. As Colombia’s National Planning Department notes, "Investing in Teacher Secondary is the most cost-effective strategy to disrupt the poverty cycle" (2024), particularly in Bogotá where secondary education completion rates correlate directly with reduced youth unemployment (currently at 15.8%).</w:t>
      </w:r>
    </w:p>
    <w:p>
      <w:pPr>
        <w:pStyle w:val="BodyText"/>
      </w:pPr>
      <w:r>
        <w:rPr>
          <w:bCs/>
          <w:b/>
        </w:rPr>
        <w:t xml:space="preserve">Conclusion: The Unfinished Revolution of Teacher Secondary</w:t>
      </w:r>
    </w:p>
    <w:p>
      <w:pPr>
        <w:pStyle w:val="BodyText"/>
      </w:pPr>
      <w:r>
        <w:t xml:space="preserve">The future of Colombia’s urban development hinges on reimagining the role of Teacher Secondary beyond content delivery to that of community architects. In Bogotá—where every child represents a potential contributor to the city’s $103 billion economy—the current model risks perpetuating cycles of exclusion if Teacher Secondary remain under-resourced and undervalued. This dissertation argues that Colombia’s educational transformation must center on Teacher Secondary as co-creators of policy, not merely implementers. By embedding their voices in curriculum design, resource allocation, and community partnerships—as exemplified by Bogotá’s most successful schools—the nation can move beyond rhetoric to tangible progress. As Bogotá Mayor Claudia López affirmed in 2023: "When we empower our Teacher Secondary, we don’t just educate children—we build the city of tomorrow." This dissertation stands as a call to action: Colombia must invest not merely in education systems, but in the human catalysts who animate them—Teacher Secondary at the heart of Bogotá’s rebirth.</w:t>
      </w:r>
    </w:p>
    <w:p>
      <w:pPr>
        <w:pStyle w:val="BodyText"/>
      </w:pPr>
      <w:r>
        <w:rPr>
          <w:bCs/>
          <w:b/>
        </w:rPr>
        <w:t xml:space="preserve">References (Illustrative)</w:t>
      </w:r>
    </w:p>
    <w:p>
      <w:pPr>
        <w:numPr>
          <w:ilvl w:val="0"/>
          <w:numId w:val="1001"/>
        </w:numPr>
        <w:pStyle w:val="Compact"/>
      </w:pPr>
      <w:r>
        <w:t xml:space="preserve">Colombia Ministry of Education. (2023). *National Report on Secondary Education Quality*. Bogotá: MEN.</w:t>
      </w:r>
    </w:p>
    <w:p>
      <w:pPr>
        <w:numPr>
          <w:ilvl w:val="0"/>
          <w:numId w:val="1001"/>
        </w:numPr>
        <w:pStyle w:val="Compact"/>
      </w:pPr>
      <w:r>
        <w:t xml:space="preserve">Bogotá City Council. (2023). *Urban Educational Equity Index: Stratification and Resource Allocation*. District Technical Unit.</w:t>
      </w:r>
    </w:p>
    <w:p>
      <w:pPr>
        <w:numPr>
          <w:ilvl w:val="0"/>
          <w:numId w:val="1001"/>
        </w:numPr>
        <w:pStyle w:val="Compact"/>
      </w:pPr>
      <w:r>
        <w:t xml:space="preserve">UNICEF Colombia. (2023). *Schooling in the Urban Margins: Bogotá Case Study*.</w:t>
      </w:r>
    </w:p>
    <w:p>
      <w:pPr>
        <w:numPr>
          <w:ilvl w:val="0"/>
          <w:numId w:val="1001"/>
        </w:numPr>
        <w:pStyle w:val="Compact"/>
      </w:pPr>
      <w:r>
        <w:t xml:space="preserve">PISA Report. (2024). *Colombia’s Educational Performance: Trends and Challenges*. OECD.</w:t>
      </w:r>
    </w:p>
    <w:p>
      <w:pPr>
        <w:pStyle w:val="FirstParagraph"/>
      </w:pPr>
      <w:r>
        <w:rPr>
          <w:iCs/>
          <w:i/>
        </w:rP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Teacher Secondary in Colombia Bogotá</dc:title>
  <dc:creator/>
  <cp:keywords/>
  <dcterms:created xsi:type="dcterms:W3CDTF">2026-07-21T07:17:36Z</dcterms:created>
  <dcterms:modified xsi:type="dcterms:W3CDTF">2026-07-21T07:17:36Z</dcterms:modified>
</cp:coreProperties>
</file>

<file path=docProps/custom.xml><?xml version="1.0" encoding="utf-8"?>
<Properties xmlns="http://schemas.openxmlformats.org/officeDocument/2006/custom-properties" xmlns:vt="http://schemas.openxmlformats.org/officeDocument/2006/docPropsVTypes"/>
</file>