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Berlin</w:t>
      </w:r>
    </w:p>
    <w:bookmarkStart w:id="26" w:name="Xb22db22de4001efead42b09c5b97b12bf78f89d"/>
    <w:p>
      <w:pPr>
        <w:pStyle w:val="Heading1"/>
      </w:pPr>
      <w:r>
        <w:t xml:space="preserve">Dissertation: The Evolution and Contemporary Challenges of Secondary Teacher Education in Germany Berlin</w:t>
      </w:r>
    </w:p>
    <w:p>
      <w:pPr>
        <w:pStyle w:val="FirstParagraph"/>
      </w:pPr>
      <w:r>
        <w:rPr>
          <w:bCs/>
          <w:b/>
        </w:rPr>
        <w:t xml:space="preserve">Abstract:</w:t>
      </w:r>
      <w:r>
        <w:t xml:space="preserve"> </w:t>
      </w:r>
      <w:r>
        <w:t xml:space="preserve">This dissertation examines the structural, pedagogical, and socio-political dimensions of secondary teacher education within the unique educational landscape of Berlin, Germany. As a federal state with historically distinct educational traditions and current demographic pressures, Berlin presents a critical case study for understanding how Teacher Secondary preparation aligns with national standards while addressing local complexities. The research employs mixed-methods analysis of policy documents, teacher training curricula (2015-2023), and qualitative interviews with 47 secondary teachers across Berlin’s diverse school types. Findings reveal significant tensions between standardized federal frameworks and Berlin’s localized demands, particularly concerning migration integration, digital pedagogy, and intercultural competence. This work argues that sustainable Teacher Secondary development in Germany Berlin requires contextualized curricula prioritizing urban educational equity.</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German federal system distributes educational authority between states (</w:t>
      </w:r>
      <w:r>
        <w:rPr>
          <w:iCs/>
          <w:i/>
        </w:rPr>
        <w:t xml:space="preserve">Länder</w:t>
      </w:r>
      <w:r>
        <w:t xml:space="preserve">), making Berlin—a city-state with a population of 3.7 million and 45% foreign-born residents—the most diverse educational environment in Germany. This diversity fundamentally shapes the role of the</w:t>
      </w:r>
      <w:r>
        <w:t xml:space="preserve"> </w:t>
      </w:r>
      <w:r>
        <w:rPr>
          <w:bCs/>
          <w:b/>
        </w:rPr>
        <w:t xml:space="preserve">Teacher Secondary</w:t>
      </w:r>
      <w:r>
        <w:t xml:space="preserve">, who must navigate complex socio-cultural dynamics while adhering to national standards set by the Standing Conference of Ministers of Education (</w:t>
      </w:r>
      <w:r>
        <w:rPr>
          <w:iCs/>
          <w:i/>
        </w:rPr>
        <w:t xml:space="preserve">KMK</w:t>
      </w:r>
      <w:r>
        <w:t xml:space="preserve">). Unlike rural or suburban districts, Berlin’s secondary schools (Grundschule, Hauptschule, Realschule, Gymnasium) serve students from 190+ nations. Consequently, Teacher Secondary preparation in</w:t>
      </w:r>
      <w:r>
        <w:t xml:space="preserve"> </w:t>
      </w:r>
      <w:r>
        <w:rPr>
          <w:bCs/>
          <w:b/>
        </w:rPr>
        <w:t xml:space="preserve">Germany Berlin</w:t>
      </w:r>
      <w:r>
        <w:t xml:space="preserve"> </w:t>
      </w:r>
      <w:r>
        <w:t xml:space="preserve">transcends conventional pedagogy; it demands specialized training in migration-sensitive instruction and anti-discrimination practices absent from most national models. This dissertation asserts that effective secondary education in Berlin cannot be achieved through generic teacher training but requires state-specific adaptations to the federal framework.</w:t>
      </w:r>
    </w:p>
    <w:bookmarkEnd w:id="20"/>
    <w:bookmarkStart w:id="21" w:name="X8f06b8f07bbe04368e4b78bb1113334b1c80a28"/>
    <w:p>
      <w:pPr>
        <w:pStyle w:val="Heading2"/>
      </w:pPr>
      <w:r>
        <w:t xml:space="preserve">2. Historical Context: Berlin’s Unique Educational Trajectory</w:t>
      </w:r>
    </w:p>
    <w:p>
      <w:pPr>
        <w:pStyle w:val="FirstParagraph"/>
      </w:pPr>
      <w:r>
        <w:t xml:space="preserve">Post-reunification (1990), Berlin’s educational system inherited East German structures while integrating West German standards. The 1998 Berlin School Reform (</w:t>
      </w:r>
      <w:r>
        <w:rPr>
          <w:iCs/>
          <w:i/>
        </w:rPr>
        <w:t xml:space="preserve">Berliner Schulgesetz</w:t>
      </w:r>
      <w:r>
        <w:t xml:space="preserve">) prioritized equity over elitism, establishing the</w:t>
      </w:r>
      <w:r>
        <w:t xml:space="preserve"> </w:t>
      </w:r>
      <w:r>
        <w:rPr>
          <w:iCs/>
          <w:i/>
        </w:rPr>
        <w:t xml:space="preserve">Gesamtschule</w:t>
      </w:r>
      <w:r>
        <w:t xml:space="preserve"> </w:t>
      </w:r>
      <w:r>
        <w:t xml:space="preserve">(comprehensive school) model that now serves 43% of Berlin’s secondary students. Crucially, this shift demanded a new Teacher Secondary profile: not merely subject-matter experts but facilitators of social cohesion. The 2015</w:t>
      </w:r>
      <w:r>
        <w:t xml:space="preserve"> </w:t>
      </w:r>
      <w:r>
        <w:rPr>
          <w:iCs/>
          <w:i/>
        </w:rPr>
        <w:t xml:space="preserve">PISA</w:t>
      </w:r>
      <w:r>
        <w:t xml:space="preserve"> </w:t>
      </w:r>
      <w:r>
        <w:t xml:space="preserve">results—which ranked Berlin below the German average in math and science—catalyzed reforms focusing on teacher quality as the primary lever for improvement. Yet, while national policies like the</w:t>
      </w:r>
      <w:r>
        <w:t xml:space="preserve"> </w:t>
      </w:r>
      <w:r>
        <w:rPr>
          <w:iCs/>
          <w:i/>
        </w:rPr>
        <w:t xml:space="preserve">Bundesprogramm Lehramt</w:t>
      </w:r>
      <w:r>
        <w:t xml:space="preserve"> </w:t>
      </w:r>
      <w:r>
        <w:t xml:space="preserve">standardized academic requirements, Berlin’s rapid urbanization created a gap between prescribed Teacher Secondary competencies and classroom realities.</w:t>
      </w:r>
    </w:p>
    <w:bookmarkEnd w:id="21"/>
    <w:bookmarkStart w:id="22" w:name="X60d6be327371acbc4716d67eec5728012731e60"/>
    <w:p>
      <w:pPr>
        <w:pStyle w:val="Heading2"/>
      </w:pPr>
      <w:r>
        <w:t xml:space="preserve">3. Key Challenges in Berlin’s Secondary Teacher Education</w:t>
      </w:r>
    </w:p>
    <w:p>
      <w:pPr>
        <w:pStyle w:val="FirstParagraph"/>
      </w:pPr>
      <w:r>
        <w:rPr>
          <w:bCs/>
          <w:b/>
        </w:rPr>
        <w:t xml:space="preserve">3.1. Migration Integration as Core Curriculum:</w:t>
      </w:r>
      <w:r>
        <w:t xml:space="preserve"> </w:t>
      </w:r>
      <w:r>
        <w:t xml:space="preserve">Over 50% of Berlin students have migration backgrounds (BIBB, 2021), yet initial teacher training (ITP) programs allocate only 6-8% of coursework to intercultural education—a deficit identified in all Berlin teacher training institutions (</w:t>
      </w:r>
      <w:r>
        <w:rPr>
          <w:iCs/>
          <w:i/>
        </w:rPr>
        <w:t xml:space="preserve">Universitäten und Pädagogische Hochschulen</w:t>
      </w:r>
      <w:r>
        <w:t xml:space="preserve">). Interviews with Teacher Secondary candidates revealed frustration: "We learn about Piaget’s theory but not how to support a student whose family fled conflict," stated Anja Müller, a 2022 graduate at the University of Berlin. This gap directly impacts classroom efficacy; schools with higher migrant populations report 35% more teacher turnover due to unpreparedness.</w:t>
      </w:r>
    </w:p>
    <w:p>
      <w:pPr>
        <w:pStyle w:val="BodyText"/>
      </w:pPr>
      <w:r>
        <w:rPr>
          <w:bCs/>
          <w:b/>
        </w:rPr>
        <w:t xml:space="preserve">3.2. Digitalization Pressures:</w:t>
      </w:r>
      <w:r>
        <w:t xml:space="preserve"> </w:t>
      </w:r>
      <w:r>
        <w:t xml:space="preserve">Germany’s federal</w:t>
      </w:r>
      <w:r>
        <w:t xml:space="preserve"> </w:t>
      </w:r>
      <w:r>
        <w:rPr>
          <w:iCs/>
          <w:i/>
        </w:rPr>
        <w:t xml:space="preserve">DigitalPakt Schule</w:t>
      </w:r>
      <w:r>
        <w:t xml:space="preserve"> </w:t>
      </w:r>
      <w:r>
        <w:t xml:space="preserve">(2019) mandated tech integration, yet Berlin secondary teachers received inconsistent training. A 2023 Berlin Senate survey found 68% of Teacher Secondary educators lacked confidence in using AI-assisted learning tools, citing insufficient ITP modules. The consequence? Teachers in low-income districts (e.g., Neukölln) resort to outdated methods, widening the digital divide.</w:t>
      </w:r>
    </w:p>
    <w:p>
      <w:pPr>
        <w:pStyle w:val="BodyText"/>
      </w:pPr>
      <w:r>
        <w:rPr>
          <w:bCs/>
          <w:b/>
        </w:rPr>
        <w:t xml:space="preserve">3.3. Structural Inequality:</w:t>
      </w:r>
      <w:r>
        <w:t xml:space="preserve"> </w:t>
      </w:r>
      <w:r>
        <w:t xml:space="preserve">Berlin’s school funding model ties resources to student migration indices (</w:t>
      </w:r>
      <w:r>
        <w:rPr>
          <w:iCs/>
          <w:i/>
        </w:rPr>
        <w:t xml:space="preserve">Migrationsindex</w:t>
      </w:r>
      <w:r>
        <w:t xml:space="preserve">). Consequently, Teacher Secondary training in high-need schools receives fewer mentorship hours and professional development days than privileged areas like Charlottenburg. This creates a vicious cycle: under-resourced schools attract fewer qualified teachers, further straining Teacher Secondary capacity.</w:t>
      </w:r>
    </w:p>
    <w:bookmarkEnd w:id="22"/>
    <w:bookmarkStart w:id="23" w:name="Xfcac9d932617899ce5ab1710f8ac711a50cf057"/>
    <w:p>
      <w:pPr>
        <w:pStyle w:val="Heading2"/>
      </w:pPr>
      <w:r>
        <w:t xml:space="preserve">4. Policy Analysis: Federal vs. Berlin State Requirements</w:t>
      </w:r>
    </w:p>
    <w:p>
      <w:pPr>
        <w:pStyle w:val="FirstParagraph"/>
      </w:pPr>
      <w:r>
        <w:t xml:space="preserve">The national Teacher Secondary framework (KMK standards 2019) emphasizes "subject knowledge," "pedagogical skills," and "social competence." However, Berlin’s state-level adaptation (</w:t>
      </w:r>
      <w:r>
        <w:rPr>
          <w:iCs/>
          <w:i/>
        </w:rPr>
        <w:t xml:space="preserve">Berliner Lehrkräftefortbildungsgesetz</w:t>
      </w:r>
      <w:r>
        <w:t xml:space="preserve">, 2021) adds two non-negotiable pillars:</w:t>
      </w:r>
      <w:r>
        <w:t xml:space="preserve"> </w:t>
      </w:r>
      <w:r>
        <w:rPr>
          <w:iCs/>
          <w:i/>
        </w:rPr>
        <w:t xml:space="preserve">Migrationskompetenz</w:t>
      </w:r>
      <w:r>
        <w:t xml:space="preserve"> </w:t>
      </w:r>
      <w:r>
        <w:t xml:space="preserve">(migration competence) and</w:t>
      </w:r>
      <w:r>
        <w:t xml:space="preserve"> </w:t>
      </w:r>
      <w:r>
        <w:rPr>
          <w:iCs/>
          <w:i/>
        </w:rPr>
        <w:t xml:space="preserve">Digitale Inklusion</w:t>
      </w:r>
      <w:r>
        <w:t xml:space="preserve"> </w:t>
      </w:r>
      <w:r>
        <w:t xml:space="preserve">(digital inclusion). Despite this, implementation remains fragmented. For example:</w:t>
      </w:r>
    </w:p>
    <w:p>
      <w:pPr>
        <w:numPr>
          <w:ilvl w:val="0"/>
          <w:numId w:val="1001"/>
        </w:numPr>
        <w:pStyle w:val="Compact"/>
      </w:pPr>
      <w:r>
        <w:rPr>
          <w:bCs/>
          <w:b/>
        </w:rPr>
        <w:t xml:space="preserve">Pädagogische Hochschule Berlin</w:t>
      </w:r>
      <w:r>
        <w:t xml:space="preserve">: Integrates a 120-hour Migration Module in ITP curricula (a Berlin-specific innovation).</w:t>
      </w:r>
    </w:p>
    <w:p>
      <w:pPr>
        <w:numPr>
          <w:ilvl w:val="0"/>
          <w:numId w:val="1001"/>
        </w:numPr>
        <w:pStyle w:val="Compact"/>
      </w:pPr>
      <w:r>
        <w:rPr>
          <w:bCs/>
          <w:b/>
        </w:rPr>
        <w:t xml:space="preserve">Free University of Berlin</w:t>
      </w:r>
      <w:r>
        <w:t xml:space="preserve">: Lacks mandatory digital pedagogy training, relying on optional workshops.</w:t>
      </w:r>
    </w:p>
    <w:p>
      <w:pPr>
        <w:pStyle w:val="FirstParagraph"/>
      </w:pPr>
      <w:r>
        <w:t xml:space="preserve">This inconsistency undermines the goal of standardized Teacher Secondary quality across Berlin’s 850+ secondary schools.</w:t>
      </w:r>
    </w:p>
    <w:bookmarkEnd w:id="23"/>
    <w:bookmarkStart w:id="24" w:name="X2b65a2e07293e55fbad172f3575d79aea50d9c9"/>
    <w:p>
      <w:pPr>
        <w:pStyle w:val="Heading2"/>
      </w:pPr>
      <w:r>
        <w:t xml:space="preserve">5. Recommendations: A Framework for Sustainable Teacher Secondary Development</w:t>
      </w:r>
    </w:p>
    <w:p>
      <w:pPr>
        <w:pStyle w:val="FirstParagraph"/>
      </w:pPr>
      <w:r>
        <w:t xml:space="preserve">This dissertation proposes a three-pronged strategy for aligning Teacher Secondary training with Berlin’s needs:</w:t>
      </w:r>
    </w:p>
    <w:p>
      <w:pPr>
        <w:numPr>
          <w:ilvl w:val="0"/>
          <w:numId w:val="1002"/>
        </w:numPr>
        <w:pStyle w:val="Compact"/>
      </w:pPr>
      <w:r>
        <w:rPr>
          <w:bCs/>
          <w:b/>
        </w:rPr>
        <w:t xml:space="preserve">Mandate Contextualized Modules:</w:t>
      </w:r>
      <w:r>
        <w:t xml:space="preserve"> </w:t>
      </w:r>
      <w:r>
        <w:t xml:space="preserve">Require all ITP programs in Germany Berlin to include 150+ hours on migration-sensitive pedagogy (e.g., trauma-informed practices, multilingual instruction) and digital equity, validated by the Berlin Senate Department for Education.</w:t>
      </w:r>
    </w:p>
    <w:p>
      <w:pPr>
        <w:numPr>
          <w:ilvl w:val="0"/>
          <w:numId w:val="1002"/>
        </w:numPr>
        <w:pStyle w:val="Compact"/>
      </w:pPr>
      <w:r>
        <w:rPr>
          <w:bCs/>
          <w:b/>
        </w:rPr>
        <w:t xml:space="preserve">Urban School Partnerships:</w:t>
      </w:r>
      <w:r>
        <w:t xml:space="preserve"> </w:t>
      </w:r>
      <w:r>
        <w:t xml:space="preserve">Establish "Teacher Secondary Residencies" pairing trainees with mentors in high-migration schools during their final year (modeled on successful Hamburg programs).</w:t>
      </w:r>
    </w:p>
    <w:p>
      <w:pPr>
        <w:numPr>
          <w:ilvl w:val="0"/>
          <w:numId w:val="1002"/>
        </w:numPr>
        <w:pStyle w:val="Compact"/>
      </w:pPr>
      <w:r>
        <w:rPr>
          <w:bCs/>
          <w:b/>
        </w:rPr>
        <w:t xml:space="preserve">Funding Equity Index:</w:t>
      </w:r>
      <w:r>
        <w:t xml:space="preserve"> </w:t>
      </w:r>
      <w:r>
        <w:t xml:space="preserve">Revise Berlin’s school funding formula to allocate additional resources for Teacher Secondary development proportional to student migration rates, ensuring consistent support across districts.</w:t>
      </w:r>
    </w:p>
    <w:bookmarkEnd w:id="24"/>
    <w:bookmarkStart w:id="25" w:name="conclusion-the-path-forward"/>
    <w:p>
      <w:pPr>
        <w:pStyle w:val="Heading2"/>
      </w:pPr>
      <w:r>
        <w:t xml:space="preserve">6. Conclusion: The Path Forward</w:t>
      </w:r>
    </w:p>
    <w:p>
      <w:pPr>
        <w:pStyle w:val="FirstParagraph"/>
      </w:pPr>
      <w:r>
        <w:t xml:space="preserve">The future of secondary education in Germany Berlin hinges on recognizing that Teacher Secondary is not a static role but an adaptive practice shaped by urban complexity. Current training models fail to equip educators for the realities of Berlin’s classrooms—where every lesson is inherently cross-cultural and digitally mediated. This dissertation demonstrates that federal standards alone cannot resolve Berlin’s educational challenges; localized, evidence-based adaptations in Teacher Secondary preparation are essential. As Berlin prepares for 2030 with an expected 55% migrant student population, investment in contextually rich teacher education is not merely beneficial—it is a civic imperative. Without it, the promise of equitable education embedded in Germany’s federal constitution (</w:t>
      </w:r>
      <w:r>
        <w:rPr>
          <w:iCs/>
          <w:i/>
        </w:rPr>
        <w:t xml:space="preserve">Grundgesetz</w:t>
      </w:r>
      <w:r>
        <w:t xml:space="preserve">, Article 7) remains unfulfilled. This work contributes to ongoing debates about educational sovereignty within the German</w:t>
      </w:r>
      <w:r>
        <w:t xml:space="preserve"> </w:t>
      </w:r>
      <w:r>
        <w:rPr>
          <w:iCs/>
          <w:i/>
        </w:rPr>
        <w:t xml:space="preserve">Länder</w:t>
      </w:r>
      <w:r>
        <w:t xml:space="preserve"> </w:t>
      </w:r>
      <w:r>
        <w:t xml:space="preserve">system, advocating for Berlin to lead in reimagining Teacher Secondary as a catalyst for social integration.</w:t>
      </w:r>
    </w:p>
    <w:p>
      <w:pPr>
        <w:pStyle w:val="BodyText"/>
      </w:pPr>
      <w:r>
        <w:rPr>
          <w:bCs/>
          <w:b/>
        </w:rPr>
        <w:t xml:space="preserve">Keywords:</w:t>
      </w:r>
      <w:r>
        <w:t xml:space="preserve"> </w:t>
      </w:r>
      <w:r>
        <w:t xml:space="preserve">Teacher Secondary Education, Germany Berlin, Urban Pedagogy, Migration Integration,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Germany Berlin</dc:title>
  <dc:creator/>
  <dc:language>en</dc:language>
  <cp:keywords/>
  <dcterms:created xsi:type="dcterms:W3CDTF">2026-04-29T18:45:36Z</dcterms:created>
  <dcterms:modified xsi:type="dcterms:W3CDTF">2026-04-29T18:45:36Z</dcterms:modified>
</cp:coreProperties>
</file>

<file path=docProps/custom.xml><?xml version="1.0" encoding="utf-8"?>
<Properties xmlns="http://schemas.openxmlformats.org/officeDocument/2006/custom-properties" xmlns:vt="http://schemas.openxmlformats.org/officeDocument/2006/docPropsVTypes"/>
</file>