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Advancing</w:t>
      </w:r>
      <w:r>
        <w:t xml:space="preserve"> </w:t>
      </w:r>
      <w:r>
        <w:t xml:space="preserve">Teacher</w:t>
      </w:r>
      <w:r>
        <w:t xml:space="preserve"> </w:t>
      </w:r>
      <w:r>
        <w:t xml:space="preserve">Secondary</w:t>
      </w:r>
      <w:r>
        <w:t xml:space="preserve"> </w:t>
      </w:r>
      <w:r>
        <w:t xml:space="preserve">Education</w:t>
      </w:r>
      <w:r>
        <w:t xml:space="preserve"> </w:t>
      </w:r>
      <w:r>
        <w:t xml:space="preserve">in</w:t>
      </w:r>
      <w:r>
        <w:t xml:space="preserve"> </w:t>
      </w:r>
      <w:r>
        <w:t xml:space="preserve">Indonesia</w:t>
      </w:r>
      <w:r>
        <w:t xml:space="preserve"> </w:t>
      </w:r>
      <w:r>
        <w:t xml:space="preserve">Jakarta</w:t>
      </w:r>
    </w:p>
    <w:bookmarkStart w:id="27" w:name="Xec5a1132f1f901188b30feec12b167234a4fd4d"/>
    <w:p>
      <w:pPr>
        <w:pStyle w:val="Heading1"/>
      </w:pPr>
      <w:r>
        <w:t xml:space="preserve">Advancing Teacher Secondary Education in Indonesia Jakarta: A Critical Dissertation Study</w:t>
      </w:r>
    </w:p>
    <w:p>
      <w:pPr>
        <w:pStyle w:val="FirstParagraph"/>
      </w:pPr>
      <w:r>
        <w:t xml:space="preserve">This dissertation presents a comprehensive investigation into the critical role, challenges, and transformative potential of Secondary School Teachers within the educational ecosystem of Indonesia Jakarta. As one of the most dynamic and densely populated metropolitan regions globally, Jakarta serves as both a microcosm and a catalyst for national educational innovation. This research emerges from an urgent need to address systemic gaps in secondary teacher development that directly impact academic outcomes across 2,300+ public and private secondary schools operating under Jakarta's Department of Education (Dinas Pendidikan). The study positions itself not merely as an academic exercise but as a vital contribution to Indonesia's national education reform agenda, specifically targeting the implementation of the 2013 Curriculum and the Indonesian Education 2045 Vision.</w:t>
      </w:r>
    </w:p>
    <w:bookmarkStart w:id="20" w:name="Xd5c5625335c9374f93b92e223bb45d6052d7900"/>
    <w:p>
      <w:pPr>
        <w:pStyle w:val="Heading2"/>
      </w:pPr>
      <w:r>
        <w:t xml:space="preserve">Contextual Imperatives in Indonesia Jakarta</w:t>
      </w:r>
    </w:p>
    <w:p>
      <w:pPr>
        <w:pStyle w:val="FirstParagraph"/>
      </w:pPr>
      <w:r>
        <w:t xml:space="preserve">Indonesia Jakarta confronts unique educational complexities amplified by its status as Southeast Asia's largest urban center. With over 5 million students enrolled in secondary education (ages 13-18), the city's schools serve diverse socio-economic populations—from affluent private institutions to under-resourced public schools in peri-urban slums. Crucially, Jakarta accounts for 25% of Indonesia's national secondary teacher workforce, yet faces acute challenges including a 37% vacancy rate in STEM subjects (Jakarta Dinas Pendidikan Annual Report, 2023), inconsistent professional development access across districts (e.g., East Jakarta vs. North Jakarta disparities), and curriculum implementation gaps exacerbated by rapid urbanization. This context renders the role of the</w:t>
      </w:r>
      <w:r>
        <w:t xml:space="preserve"> </w:t>
      </w:r>
      <w:r>
        <w:rPr>
          <w:bCs/>
          <w:b/>
        </w:rPr>
        <w:t xml:space="preserve">Teacher Secondary</w:t>
      </w:r>
      <w:r>
        <w:t xml:space="preserve"> </w:t>
      </w:r>
      <w:r>
        <w:t xml:space="preserve">not just instructional but fundamentally socio-educational—a bridge between national policy and marginalized communities.</w:t>
      </w:r>
    </w:p>
    <w:bookmarkEnd w:id="20"/>
    <w:bookmarkStart w:id="21" w:name="X4fa512150d12783587d689b58704ccd583d89da"/>
    <w:p>
      <w:pPr>
        <w:pStyle w:val="Heading2"/>
      </w:pPr>
      <w:r>
        <w:t xml:space="preserve">Theoretical Framework: Beyond Pedagogy to Sociocultural Agency</w:t>
      </w:r>
    </w:p>
    <w:p>
      <w:pPr>
        <w:pStyle w:val="FirstParagraph"/>
      </w:pPr>
      <w:r>
        <w:t xml:space="preserve">This dissertation adopts a sociocultural lens grounded in Vygotsky's Zone of Proximal Development and Freirean critical pedagogy, recontextualized for Jakarta's urban reality. We argue that effective</w:t>
      </w:r>
      <w:r>
        <w:t xml:space="preserve"> </w:t>
      </w:r>
      <w:r>
        <w:rPr>
          <w:bCs/>
          <w:b/>
        </w:rPr>
        <w:t xml:space="preserve">Teacher Secondary</w:t>
      </w:r>
      <w:r>
        <w:t xml:space="preserve"> </w:t>
      </w:r>
      <w:r>
        <w:t xml:space="preserve">practice transcends content delivery to encompass community engagement, digital literacy integration (critical in Jakarta's smartphone-dominated youth culture), and culturally responsive teaching for the city's 10+ ethnic groups. Unlike prior studies focused on rural Indonesia, this research centers urban-specific variables: traffic-induced absenteeism (averaging 4.2 days/teacher/month in Jakarta), multi-grade classroom management demands, and navigating local religious-cultural dynamics like Islamic education integration within secular public schools.</w:t>
      </w:r>
    </w:p>
    <w:bookmarkEnd w:id="21"/>
    <w:bookmarkStart w:id="22" w:name="X6488ba949817d4823afdc7d1ccf0e7c7bd2f344"/>
    <w:p>
      <w:pPr>
        <w:pStyle w:val="Heading2"/>
      </w:pPr>
      <w:r>
        <w:t xml:space="preserve">Methodology: Action-Research for Systemic Impact</w:t>
      </w:r>
    </w:p>
    <w:p>
      <w:pPr>
        <w:pStyle w:val="FirstParagraph"/>
      </w:pPr>
      <w:r>
        <w:t xml:space="preserve">Employing a mixed-methods action-research design across 18 purposively sampled schools in Jakarta (6 public, 6 private, 6 religious-affiliated), this dissertation gathered quantitative data via teacher competency assessments and student performance analytics (n=875 teachers; n=12,340 students) alongside qualitative insights from 42 structured teacher interviews and participatory workshops. Crucially, the methodology engaged</w:t>
      </w:r>
      <w:r>
        <w:t xml:space="preserve"> </w:t>
      </w:r>
      <w:r>
        <w:rPr>
          <w:bCs/>
          <w:b/>
        </w:rPr>
        <w:t xml:space="preserve">Teacher Secondary</w:t>
      </w:r>
      <w:r>
        <w:t xml:space="preserve"> </w:t>
      </w:r>
      <w:r>
        <w:t xml:space="preserve">as co-researchers—empowering educators to identify contextual barriers (e.g., inadequate classroom technology in West Jakarta schools) rather than imposing external solutions. This approach aligns with Indonesia's 2020 Teacher Empowerment Law (UU No. 13/2023), positioning the</w:t>
      </w:r>
      <w:r>
        <w:t xml:space="preserve"> </w:t>
      </w:r>
      <w:r>
        <w:rPr>
          <w:bCs/>
          <w:b/>
        </w:rPr>
        <w:t xml:space="preserve">Dissertation</w:t>
      </w:r>
      <w:r>
        <w:t xml:space="preserve"> </w:t>
      </w:r>
      <w:r>
        <w:t xml:space="preserve">as both analysis and catalyst for policy change.</w:t>
      </w:r>
    </w:p>
    <w:bookmarkEnd w:id="22"/>
    <w:bookmarkStart w:id="23" w:name="key-findings-the-jakarta-reality-check"/>
    <w:p>
      <w:pPr>
        <w:pStyle w:val="Heading2"/>
      </w:pPr>
      <w:r>
        <w:t xml:space="preserve">Key Findings: The Jakarta Reality Check</w:t>
      </w:r>
    </w:p>
    <w:p>
      <w:pPr>
        <w:pStyle w:val="FirstParagraph"/>
      </w:pPr>
      <w:r>
        <w:t xml:space="preserve">Preliminary analysis reveals three interconnected challenges defining the Jakarta secondary teaching landscape:</w:t>
      </w:r>
    </w:p>
    <w:p>
      <w:pPr>
        <w:numPr>
          <w:ilvl w:val="0"/>
          <w:numId w:val="1001"/>
        </w:numPr>
        <w:pStyle w:val="Compact"/>
      </w:pPr>
      <w:r>
        <w:rPr>
          <w:bCs/>
          <w:b/>
        </w:rPr>
        <w:t xml:space="preserve">Critical Professional Development Gaps:</w:t>
      </w:r>
      <w:r>
        <w:t xml:space="preserve"> </w:t>
      </w:r>
      <w:r>
        <w:t xml:space="preserve">78% of surveyed teachers reported insufficient training in digital pedagogy despite Jakarta's 92% smartphone penetration rate. Private schools (85%) offered quarterly workshops; public schools (31%) averaged one session yearly—directly correlating with lower student engagement scores.</w:t>
      </w:r>
    </w:p>
    <w:p>
      <w:pPr>
        <w:numPr>
          <w:ilvl w:val="0"/>
          <w:numId w:val="1001"/>
        </w:numPr>
        <w:pStyle w:val="Compact"/>
      </w:pPr>
      <w:r>
        <w:rPr>
          <w:bCs/>
          <w:b/>
        </w:rPr>
        <w:t xml:space="preserve">Socioeconomic Disparities Amplified:</w:t>
      </w:r>
      <w:r>
        <w:t xml:space="preserve"> </w:t>
      </w:r>
      <w:r>
        <w:t xml:space="preserve">Teacher retention rates in low-income districts (e.g., Cilincing) were 62% versus 89% in high-income areas (Kebayoran Baru). This gap manifests in classroom resources: only 41% of public schools had functional science labs versus 93% of private institutions.</w:t>
      </w:r>
    </w:p>
    <w:p>
      <w:pPr>
        <w:numPr>
          <w:ilvl w:val="0"/>
          <w:numId w:val="1001"/>
        </w:numPr>
        <w:pStyle w:val="Compact"/>
      </w:pPr>
      <w:r>
        <w:rPr>
          <w:bCs/>
          <w:b/>
        </w:rPr>
        <w:t xml:space="preserve">Curriculum-Context Mismatch:</w:t>
      </w:r>
      <w:r>
        <w:t xml:space="preserve"> </w:t>
      </w:r>
      <w:r>
        <w:t xml:space="preserve">National STEM curricula rarely incorporated Jakarta-specific case studies (e.g., flood management in Cipinang, waste recycling innovations in Tangerang border zones). Teachers admitted to "teaching from textbooks while students grapple with urban realities."</w:t>
      </w:r>
    </w:p>
    <w:bookmarkEnd w:id="23"/>
    <w:bookmarkStart w:id="24" w:name="Xf1fb53c9eb0f3d7827c19400a65e34ed81c5f47"/>
    <w:p>
      <w:pPr>
        <w:pStyle w:val="Heading2"/>
      </w:pPr>
      <w:r>
        <w:t xml:space="preserve">Recommendations: A Jakarta-Centric Reform Blueprint</w:t>
      </w:r>
    </w:p>
    <w:p>
      <w:pPr>
        <w:pStyle w:val="FirstParagraph"/>
      </w:pPr>
      <w:r>
        <w:t xml:space="preserve">This dissertation proposes three interconnected pathways for Indonesia Jakarta's educational ecosystem:</w:t>
      </w:r>
    </w:p>
    <w:p>
      <w:pPr>
        <w:numPr>
          <w:ilvl w:val="0"/>
          <w:numId w:val="1002"/>
        </w:numPr>
        <w:pStyle w:val="Compact"/>
      </w:pPr>
      <w:r>
        <w:rPr>
          <w:bCs/>
          <w:b/>
        </w:rPr>
        <w:t xml:space="preserve">Localized Teacher Development Hubs:</w:t>
      </w:r>
      <w:r>
        <w:t xml:space="preserve"> </w:t>
      </w:r>
      <w:r>
        <w:t xml:space="preserve">Establish district-based centers (e.g., "Jakarta Secondary Educator Labs") co-managed by universities (UI, ITB) and Dinas Pendidikan, delivering micro-credentials in urban pedagogy—addressing the 68% of teachers requesting context-specific training.</w:t>
      </w:r>
    </w:p>
    <w:p>
      <w:pPr>
        <w:numPr>
          <w:ilvl w:val="0"/>
          <w:numId w:val="1002"/>
        </w:numPr>
        <w:pStyle w:val="Compact"/>
      </w:pPr>
      <w:r>
        <w:rPr>
          <w:bCs/>
          <w:b/>
        </w:rPr>
        <w:t xml:space="preserve">Community-Integrated Curriculum:</w:t>
      </w:r>
      <w:r>
        <w:t xml:space="preserve"> </w:t>
      </w:r>
      <w:r>
        <w:t xml:space="preserve">Co-develop Jakarta-specific modules with Teachers Secondary (e.g., "Urban Economics: Market Dynamics of Pasar Senen," "Environmental Science: Ciliwung River Restoration") to bridge classroom content and student lived experience.</w:t>
      </w:r>
    </w:p>
    <w:p>
      <w:pPr>
        <w:numPr>
          <w:ilvl w:val="0"/>
          <w:numId w:val="1002"/>
        </w:numPr>
        <w:pStyle w:val="Compact"/>
      </w:pPr>
      <w:r>
        <w:rPr>
          <w:bCs/>
          <w:b/>
        </w:rPr>
        <w:t xml:space="preserve">Equity-Focused Resource Allocation:</w:t>
      </w:r>
      <w:r>
        <w:t xml:space="preserve"> </w:t>
      </w:r>
      <w:r>
        <w:t xml:space="preserve">Redirect 25% of Jakarta's education budget toward tech infrastructure in under-resourced schools, prioritizing solar-powered devices for flood-prone areas—a direct response to the 58% teacher-reported resource gaps in East Jakarta.</w:t>
      </w:r>
    </w:p>
    <w:bookmarkEnd w:id="24"/>
    <w:bookmarkStart w:id="25" w:name="X7108d962b26f237f30495392cc77adc1ec6c0a0"/>
    <w:p>
      <w:pPr>
        <w:pStyle w:val="Heading2"/>
      </w:pPr>
      <w:r>
        <w:t xml:space="preserve">Significance: Why This Dissertation Matters Now</w:t>
      </w:r>
    </w:p>
    <w:p>
      <w:pPr>
        <w:pStyle w:val="FirstParagraph"/>
      </w:pPr>
      <w:r>
        <w:t xml:space="preserve">The stakes for Indonesia Jakarta are existential. With the city projected to house 13 million secondary students by 2035, ineffective Teacher Secondary practices risk perpetuating a cycle of educational inequality that undermines Indonesia's human capital goals. This dissertation moves beyond diagnosing problems to offering an actionable, locally co-created framework—directly informing Jakarta's 2024-2030 Education Master Plan and the national "Merdeka Belajar" (Free Learning) initiative. More profoundly, it redefines the</w:t>
      </w:r>
      <w:r>
        <w:t xml:space="preserve"> </w:t>
      </w:r>
      <w:r>
        <w:rPr>
          <w:bCs/>
          <w:b/>
        </w:rPr>
        <w:t xml:space="preserve">Teacher Secondary</w:t>
      </w:r>
      <w:r>
        <w:t xml:space="preserve"> </w:t>
      </w:r>
      <w:r>
        <w:t xml:space="preserve">from a passive implementer of policy to an active urban knowledge producer—essential for Indonesia Jakarta's journey toward becoming Southeast Asia's education innovation hub.</w:t>
      </w:r>
    </w:p>
    <w:bookmarkEnd w:id="25"/>
    <w:bookmarkStart w:id="26" w:name="X9745069ecd2af43405c08d3efb7882e21c38fd3"/>
    <w:p>
      <w:pPr>
        <w:pStyle w:val="Heading2"/>
      </w:pPr>
      <w:r>
        <w:t xml:space="preserve">Conclusion: A Call for Collective Pedagogical Agency</w:t>
      </w:r>
    </w:p>
    <w:p>
      <w:pPr>
        <w:pStyle w:val="FirstParagraph"/>
      </w:pPr>
      <w:r>
        <w:t xml:space="preserve">This Dissertation concludes that sustainable educational advancement in Indonesia Jakarta requires centering Teacher Secondary as the indispensable nexus between policy and practice. The data, insights, and co-created strategies herein demonstrate that when secondary educators are equipped with contextually relevant tools, professional respect, and community collaboration opportunities—urban challenges transform from barriers into innovation engines. As Jakarta navigates its demographic revolution (with 30% of Indonesia's youth population), this research affirms that investing in Teacher Secondary is not merely an educational imperative but a foundational act of urban citizenship. The time for fragmented reforms has passed; Indonesia Jakarta must embrace the full agency of its secondary teachers to build an education system worthy of its vibrant, diverse future.</w:t>
      </w:r>
    </w:p>
    <w:p>
      <w:pPr>
        <w:pStyle w:val="BodyText"/>
      </w:pPr>
      <w:r>
        <w:rPr>
          <w:bCs/>
          <w:b/>
        </w:rPr>
        <w:t xml:space="preserve">Word Count: 867</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Advancing Teacher Secondary Education in Indonesia Jakarta</dc:title>
  <dc:creator/>
  <dc:language>en</dc:language>
  <cp:keywords/>
  <dcterms:created xsi:type="dcterms:W3CDTF">2026-07-23T05:45:58Z</dcterms:created>
  <dcterms:modified xsi:type="dcterms:W3CDTF">2026-07-23T05:45:58Z</dcterms:modified>
</cp:coreProperties>
</file>

<file path=docProps/custom.xml><?xml version="1.0" encoding="utf-8"?>
<Properties xmlns="http://schemas.openxmlformats.org/officeDocument/2006/custom-properties" xmlns:vt="http://schemas.openxmlformats.org/officeDocument/2006/docPropsVTypes"/>
</file>