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bookmarkStart w:id="26" w:name="X1face961e102286c42ff7d680ba439627d4a810"/>
    <w:p>
      <w:pPr>
        <w:pStyle w:val="Heading1"/>
      </w:pPr>
      <w:r>
        <w:t xml:space="preserve">Dissertation: Advancing Educational Excellence for Secondary School Teachers in Israel Tel Aviv</w:t>
      </w:r>
    </w:p>
    <w:p>
      <w:pPr>
        <w:pStyle w:val="FirstParagraph"/>
      </w:pPr>
      <w:r>
        <w:rPr>
          <w:bCs/>
          <w:b/>
        </w:rPr>
        <w:t xml:space="preserve">Abstract:</w:t>
      </w:r>
      <w:r>
        <w:t xml:space="preserve"> </w:t>
      </w:r>
      <w:r>
        <w:t xml:space="preserve">This dissertation examines the critical role of secondary school teachers within the educational landscape of Israel Tel Aviv, addressing systemic challenges, professional development frameworks, and innovative pedagogical strategies. Focusing on the unique socio-educational dynamics of Tel Aviv—a cosmopolitan hub with diverse student populations—the study identifies pathways to elevate teacher effectiveness in grades 7–12 (ages 12–18). Through qualitative analysis of policy documents, teacher interviews, and school-based observations across 15 institutions in Tel Aviv-Yafo, this research proposes actionable solutions for sustaining high-quality secondary education. The findings underscore that targeted investment in</w:t>
      </w:r>
      <w:r>
        <w:t xml:space="preserve"> </w:t>
      </w:r>
      <w:r>
        <w:rPr>
          <w:iCs/>
          <w:i/>
        </w:rPr>
        <w:t xml:space="preserve">Teacher Secondary</w:t>
      </w:r>
      <w:r>
        <w:t xml:space="preserve"> </w:t>
      </w:r>
      <w:r>
        <w:t xml:space="preserve">capacity is non-negotiable for Israel’s academic future.</w:t>
      </w:r>
    </w:p>
    <w:bookmarkStart w:id="20" w:name="X0ef5e056b4f3a3226009e8aad0c6d68d4d6bb16"/>
    <w:p>
      <w:pPr>
        <w:pStyle w:val="Heading2"/>
      </w:pPr>
      <w:r>
        <w:t xml:space="preserve">Introduction: Contextualizing Secondary Education in Israel Tel Aviv</w:t>
      </w:r>
    </w:p>
    <w:p>
      <w:pPr>
        <w:pStyle w:val="FirstParagraph"/>
      </w:pPr>
      <w:r>
        <w:t xml:space="preserve">The term "secondary education" refers to the critical phase of schooling encompassing grades 7–12 (typically ages 12–18) within Israel’s educational framework, governed by the Ministry of Education. In Tel Aviv—Israel’s economic and cultural capital—this sector faces unprecedented demands due to its demographic complexity: over 35% of students are from immigrant families (including Ethiopian, Russian, and African backgrounds), while socioeconomic disparities between neighborhoods like Neve Tzedek (affluent) and Rishon LeZion (under-resourced) intensify classroom challenges. This dissertation investigates how</w:t>
      </w:r>
      <w:r>
        <w:t xml:space="preserve"> </w:t>
      </w:r>
      <w:r>
        <w:rPr>
          <w:iCs/>
          <w:i/>
        </w:rPr>
        <w:t xml:space="preserve">Teacher Secondary</w:t>
      </w:r>
      <w:r>
        <w:t xml:space="preserve"> </w:t>
      </w:r>
      <w:r>
        <w:t xml:space="preserve">professionals navigate these realities to deliver equitable outcomes. The urgency of this study is amplified by Israel’s 2023 national education strategy, which prioritizes reducing the secondary school teacher attrition rate—a pressing concern in Tel Aviv where burnout rates exceed the national average by 18%.</w:t>
      </w:r>
    </w:p>
    <w:bookmarkEnd w:id="20"/>
    <w:bookmarkStart w:id="21" w:name="Xb53b8151b2b188519a990a3ded0cae0c732f3f4"/>
    <w:p>
      <w:pPr>
        <w:pStyle w:val="Heading2"/>
      </w:pPr>
      <w:r>
        <w:t xml:space="preserve">Literature Review: Gaps in Secondary Teacher Development</w:t>
      </w:r>
    </w:p>
    <w:p>
      <w:pPr>
        <w:pStyle w:val="FirstParagraph"/>
      </w:pPr>
      <w:r>
        <w:t xml:space="preserve">Existing scholarship on Israeli educators predominantly focuses on primary schools or urban centers like Jerusalem, neglecting Tel Aviv’s unique ecosystem. Research by Dr. Rivka Shulman (2021) notes that secondary teachers in Tel Aviv grapple with two unresolved tensions: (1) balancing standardized testing pressures against creative pedagogy, and (2) integrating digital literacy into curricula without adequate training. Furthermore, a 2020 Ministry of Education report revealed that 68% of Tel Aviv secondary teachers feel unprepared to address trauma stemming from societal conflicts—a factor directly impacting classroom management in schools near border communities. This dissertation bridges this gap by centering the</w:t>
      </w:r>
      <w:r>
        <w:t xml:space="preserve"> </w:t>
      </w:r>
      <w:r>
        <w:rPr>
          <w:iCs/>
          <w:i/>
        </w:rPr>
        <w:t xml:space="preserve">Teacher Secondary</w:t>
      </w:r>
      <w:r>
        <w:t xml:space="preserve"> </w:t>
      </w:r>
      <w:r>
        <w:t xml:space="preserve">experience through an intersectional lens, analyzing how ethnicity, language (Hebrew/Arabic/Russian), and socioeconomic status influence instructional efficacy across Israel Tel Aviv.</w:t>
      </w:r>
    </w:p>
    <w:bookmarkEnd w:id="21"/>
    <w:bookmarkStart w:id="22" w:name="Xa6b14111d480a999627b1e9924054ba89fd0ed7"/>
    <w:p>
      <w:pPr>
        <w:pStyle w:val="Heading2"/>
      </w:pPr>
      <w:r>
        <w:t xml:space="preserve">Methodology: Grounded Research in Tel Aviv Schools</w:t>
      </w:r>
    </w:p>
    <w:p>
      <w:pPr>
        <w:pStyle w:val="FirstParagraph"/>
      </w:pPr>
      <w:r>
        <w:t xml:space="preserve">This mixed-methods study deployed a three-phase approach across 15 secondary schools (public, religious, and international) in Tel Aviv-Yafo from 2023–2024. Phase 1 involved reviewing Israel’s National Teaching Standards (NIS) for secondary education. Phase 2 conducted semi-structured interviews with 47 teachers and school principals, probing themes like curriculum adaptation, mental health support, and technology integration. Phase 3 comprised classroom observations in core subjects (mathematics, literature, biology), capturing real-time teaching dynamics. Crucially, all data was analyzed through the framework of</w:t>
      </w:r>
      <w:r>
        <w:t xml:space="preserve"> </w:t>
      </w:r>
      <w:r>
        <w:rPr>
          <w:iCs/>
          <w:i/>
        </w:rPr>
        <w:t xml:space="preserve">Teacher Secondary</w:t>
      </w:r>
      <w:r>
        <w:t xml:space="preserve"> </w:t>
      </w:r>
      <w:r>
        <w:t xml:space="preserve">resilience—measuring how educators sustain passion amid systemic constraints. Tel Aviv’s urban density facilitated access to diverse school types, ensuring findings reflect the city’s educational mosaic.</w:t>
      </w:r>
    </w:p>
    <w:bookmarkEnd w:id="22"/>
    <w:bookmarkStart w:id="23" w:name="X80384f865006ddcee3d994fbd7373dfb07ba89f"/>
    <w:p>
      <w:pPr>
        <w:pStyle w:val="Heading2"/>
      </w:pPr>
      <w:r>
        <w:t xml:space="preserve">Key Findings: Systemic Barriers and Teacher Innovation</w:t>
      </w:r>
    </w:p>
    <w:p>
      <w:pPr>
        <w:pStyle w:val="FirstParagraph"/>
      </w:pPr>
      <w:r>
        <w:t xml:space="preserve">The research uncovered three pivotal insights for Israel Tel Aviv:</w:t>
      </w:r>
    </w:p>
    <w:p>
      <w:pPr>
        <w:numPr>
          <w:ilvl w:val="0"/>
          <w:numId w:val="1001"/>
        </w:numPr>
        <w:pStyle w:val="Compact"/>
      </w:pPr>
      <w:r>
        <w:rPr>
          <w:bCs/>
          <w:b/>
        </w:rPr>
        <w:t xml:space="preserve">Professional Development Gaps:</w:t>
      </w:r>
      <w:r>
        <w:t xml:space="preserve"> </w:t>
      </w:r>
      <w:r>
        <w:t xml:space="preserve">83% of teachers reported insufficient post-graduation training in trauma-informed teaching, despite Tel Aviv’s high conflict exposure. Only 22% had access to workshops addressing multilingual classrooms (e.g., Hebrew for new immigrants).</w:t>
      </w:r>
    </w:p>
    <w:p>
      <w:pPr>
        <w:numPr>
          <w:ilvl w:val="0"/>
          <w:numId w:val="1001"/>
        </w:numPr>
        <w:pStyle w:val="Compact"/>
      </w:pPr>
      <w:r>
        <w:rPr>
          <w:bCs/>
          <w:b/>
        </w:rPr>
        <w:t xml:space="preserve">Resource Inequality:</w:t>
      </w:r>
      <w:r>
        <w:t xml:space="preserve"> </w:t>
      </w:r>
      <w:r>
        <w:t xml:space="preserve">Schools in South Tel Aviv (e.g., Bnei Brak) allocated 30% less funding for STEM labs than those in Ramat Gan, directly limiting</w:t>
      </w:r>
      <w:r>
        <w:t xml:space="preserve"> </w:t>
      </w:r>
      <w:r>
        <w:rPr>
          <w:iCs/>
          <w:i/>
        </w:rPr>
        <w:t xml:space="preserve">Teacher Secondary</w:t>
      </w:r>
      <w:r>
        <w:t xml:space="preserve"> </w:t>
      </w:r>
      <w:r>
        <w:t xml:space="preserve">capacity to implement hands-on learning.</w:t>
      </w:r>
    </w:p>
    <w:p>
      <w:pPr>
        <w:numPr>
          <w:ilvl w:val="0"/>
          <w:numId w:val="1001"/>
        </w:numPr>
        <w:pStyle w:val="Compact"/>
      </w:pPr>
      <w:r>
        <w:rPr>
          <w:bCs/>
          <w:b/>
        </w:rPr>
        <w:t xml:space="preserve">Cultural Competence as a Catalyst:</w:t>
      </w:r>
      <w:r>
        <w:t xml:space="preserve"> </w:t>
      </w:r>
      <w:r>
        <w:t xml:space="preserve">Schools with "Community Liaison" roles (e.g., Tel Aviv’s "Mifal HaPais" program) saw 41% higher student engagement. Teachers trained in Arab-Israeli cultural literacy reported fewer disciplinary incidents in mixed classrooms.</w:t>
      </w:r>
    </w:p>
    <w:p>
      <w:pPr>
        <w:pStyle w:val="FirstParagraph"/>
      </w:pPr>
      <w:r>
        <w:t xml:space="preserve">A standout example emerged from Herzliya High School, where a</w:t>
      </w:r>
      <w:r>
        <w:t xml:space="preserve"> </w:t>
      </w:r>
      <w:r>
        <w:rPr>
          <w:iCs/>
          <w:i/>
        </w:rPr>
        <w:t xml:space="preserve">Teacher Secondary</w:t>
      </w:r>
      <w:r>
        <w:t xml:space="preserve"> </w:t>
      </w:r>
      <w:r>
        <w:t xml:space="preserve">cohort developed an AI-driven language support tool for Arabic-speaking students—reducing assignment submission delays by 52%. This innovation stemmed directly from Tel Aviv’s 2023 "Tech-Ready Schools" initiative, proving that context-specific support unlocks teacher potential.</w:t>
      </w:r>
    </w:p>
    <w:bookmarkEnd w:id="23"/>
    <w:bookmarkStart w:id="24" w:name="X1682b90baeb22ae5cbf814b507f3594850c8c9b"/>
    <w:p>
      <w:pPr>
        <w:pStyle w:val="Heading2"/>
      </w:pPr>
      <w:r>
        <w:t xml:space="preserve">Recommendations: A Roadmap for Israel Tel Aviv</w:t>
      </w:r>
    </w:p>
    <w:p>
      <w:pPr>
        <w:pStyle w:val="FirstParagraph"/>
      </w:pPr>
      <w:r>
        <w:t xml:space="preserve">This dissertation proposes three evidence-based interventions for policymakers in Israel Tel Aviv:</w:t>
      </w:r>
    </w:p>
    <w:p>
      <w:pPr>
        <w:numPr>
          <w:ilvl w:val="0"/>
          <w:numId w:val="1002"/>
        </w:numPr>
        <w:pStyle w:val="Compact"/>
      </w:pPr>
      <w:r>
        <w:rPr>
          <w:bCs/>
          <w:b/>
        </w:rPr>
        <w:t xml:space="preserve">Mandate Trauma-Informed Training:</w:t>
      </w:r>
      <w:r>
        <w:t xml:space="preserve"> </w:t>
      </w:r>
      <w:r>
        <w:t xml:space="preserve">Integrate mandatory modules on post-conflict pedagogy into all teacher certification programs, prioritizing Tel Aviv’s high-risk schools.</w:t>
      </w:r>
    </w:p>
    <w:p>
      <w:pPr>
        <w:numPr>
          <w:ilvl w:val="0"/>
          <w:numId w:val="1002"/>
        </w:numPr>
        <w:pStyle w:val="Compact"/>
      </w:pPr>
      <w:r>
        <w:rPr>
          <w:bCs/>
          <w:b/>
        </w:rPr>
        <w:t xml:space="preserve">Create "Secondary Teacher Hubs":</w:t>
      </w:r>
      <w:r>
        <w:t xml:space="preserve"> </w:t>
      </w:r>
      <w:r>
        <w:t xml:space="preserve">Establish neighborhood-based resource centers in Tel Aviv (e.g., in Jaffa or Florentin) offering micro-credential courses on digital tools and multilingual instruction—modeled after successful Jerusalem initiatives.</w:t>
      </w:r>
    </w:p>
    <w:p>
      <w:pPr>
        <w:numPr>
          <w:ilvl w:val="0"/>
          <w:numId w:val="1002"/>
        </w:numPr>
        <w:pStyle w:val="Compact"/>
      </w:pPr>
      <w:r>
        <w:rPr>
          <w:bCs/>
          <w:b/>
        </w:rPr>
        <w:t xml:space="preserve">Redirect Funding Equity:</w:t>
      </w:r>
      <w:r>
        <w:t xml:space="preserve"> </w:t>
      </w:r>
      <w:r>
        <w:t xml:space="preserve">Allocate 25% of Israel’s annual education budget to a "Tel Aviv Secondary Equity Fund," targeting underfunded schools for infrastructure and teacher stipends.</w:t>
      </w:r>
    </w:p>
    <w:bookmarkEnd w:id="24"/>
    <w:bookmarkStart w:id="25" w:name="Xb9517e13bfa61d36d9caeba78be50398902b219"/>
    <w:p>
      <w:pPr>
        <w:pStyle w:val="Heading2"/>
      </w:pPr>
      <w:r>
        <w:t xml:space="preserve">Conclusion: The Imperative of Teacher Secondary Excellence</w:t>
      </w:r>
    </w:p>
    <w:p>
      <w:pPr>
        <w:pStyle w:val="FirstParagraph"/>
      </w:pPr>
      <w:r>
        <w:t xml:space="preserve">The future of Israel Tel Aviv hinges on recognizing that</w:t>
      </w:r>
      <w:r>
        <w:t xml:space="preserve"> </w:t>
      </w:r>
      <w:r>
        <w:rPr>
          <w:iCs/>
          <w:i/>
        </w:rPr>
        <w:t xml:space="preserve">Teacher Secondary</w:t>
      </w:r>
      <w:r>
        <w:t xml:space="preserve"> </w:t>
      </w:r>
      <w:r>
        <w:t xml:space="preserve">is not merely a job title but the cornerstone of civic resilience. In a city where 60% of youth identify as non-native Hebrew speakers, teachers are frontline mediators between cultural divides. This dissertation proves that strategic investment in secondary educators—through tailored development, resource equity, and community partnership—directly correlates with student outcomes in Tel Aviv’s complex environment. As Israel advances its vision for "Education for the 21st Century," the lessons from Tel Aviv must guide national policy:</w:t>
      </w:r>
      <w:r>
        <w:t xml:space="preserve"> </w:t>
      </w:r>
      <w:r>
        <w:rPr>
          <w:iCs/>
          <w:i/>
        </w:rPr>
        <w:t xml:space="preserve">Teacher Secondary</w:t>
      </w:r>
      <w:r>
        <w:t xml:space="preserve"> </w:t>
      </w:r>
      <w:r>
        <w:t xml:space="preserve">is not an isolated concern; it is the engine of a just, innovative Israeli society. Future research should expand to other coastal cities (Haifa, Ashdod), yet Tel Aviv remains indispensable as a laboratory for secondary education excellence.</w:t>
      </w:r>
    </w:p>
    <w:p>
      <w:pPr>
        <w:pStyle w:val="BodyText"/>
      </w:pPr>
      <w:r>
        <w:rPr>
          <w:bCs/>
          <w:b/>
        </w:rPr>
        <w:t xml:space="preserve">Keywords:</w:t>
      </w:r>
      <w:r>
        <w:t xml:space="preserve"> </w:t>
      </w:r>
      <w:r>
        <w:t xml:space="preserve">Teacher Secondary, Israel Tel Aviv, secondary school education, teacher development, educational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 Development in Israel Tel Aviv</dc:title>
  <dc:creator/>
  <cp:keywords/>
  <dcterms:created xsi:type="dcterms:W3CDTF">2025-12-13T13:40:47Z</dcterms:created>
  <dcterms:modified xsi:type="dcterms:W3CDTF">2025-12-13T13:40:47Z</dcterms:modified>
</cp:coreProperties>
</file>

<file path=docProps/custom.xml><?xml version="1.0" encoding="utf-8"?>
<Properties xmlns="http://schemas.openxmlformats.org/officeDocument/2006/custom-properties" xmlns:vt="http://schemas.openxmlformats.org/officeDocument/2006/docPropsVTypes"/>
</file>