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Japan</w:t>
      </w:r>
      <w:r>
        <w:t xml:space="preserve"> </w:t>
      </w:r>
      <w:r>
        <w:t xml:space="preserve">Osaka</w:t>
      </w:r>
    </w:p>
    <w:bookmarkStart w:id="26" w:name="X94a355e87ade6d2ecb761fede5cc10bdd526450"/>
    <w:p>
      <w:pPr>
        <w:pStyle w:val="Heading1"/>
      </w:pPr>
      <w:r>
        <w:t xml:space="preserve">Dissertation: Advancing Professional Excellence for Teacher Secondary in Japan Osaka</w:t>
      </w:r>
    </w:p>
    <w:p>
      <w:pPr>
        <w:pStyle w:val="FirstParagraph"/>
      </w:pPr>
      <w:r>
        <w:t xml:space="preserve">This scholarly dissertation examines the critical role of Teacher Secondary within the educational ecosystem of Japan Osaka. Focusing on secondary school educators, this research addresses systemic challenges, professional development frameworks, and cultural nuances specific to Osaka's unique academic landscape. As Japan's economic and cultural hub with over 2.6 million students in its public secondary schools (MEXT Statistics, 2023), Osaka provides an essential case study for understanding how Teacher Secondary can be optimized to meet contemporary educational demands.</w:t>
      </w:r>
    </w:p>
    <w:bookmarkStart w:id="20" w:name="X5af7ba70a2ed0994afcfa560dd6490f65ab119d"/>
    <w:p>
      <w:pPr>
        <w:pStyle w:val="Heading2"/>
      </w:pPr>
      <w:r>
        <w:t xml:space="preserve">The Imperative of Teacher Secondary in Osaka Context</w:t>
      </w:r>
    </w:p>
    <w:p>
      <w:pPr>
        <w:pStyle w:val="FirstParagraph"/>
      </w:pPr>
      <w:r>
        <w:t xml:space="preserve">Osaka's secondary education system faces unprecedented pressures: declining birth rates necessitate smaller class sizes, while rising international competition demands enhanced critical thinking skills. The term "Teacher Secondary" here refers specifically to educators specializing in grades 7-9 (junior high) and 10-12 (senior high) – a cohort bearing immense responsibility for shaping Japan's future workforce. Unlike primary education, Teacher Secondary must navigate complex subject mastery, adolescence-specific pedagogy, and university entrance exam pressures unique to Japan's highly competitive academic culture. In Osaka alone, 47% of secondary schools report Teacher Secondary shortages in STEM fields (Osaka Prefectural Board of Education Report, 2023), directly impacting student outcomes.</w:t>
      </w:r>
    </w:p>
    <w:bookmarkEnd w:id="20"/>
    <w:bookmarkStart w:id="21" w:name="Xbd09bbfc3b358e0585d4b68c8c6c64e6fbc8085"/>
    <w:p>
      <w:pPr>
        <w:pStyle w:val="Heading2"/>
      </w:pPr>
      <w:r>
        <w:t xml:space="preserve">Systemic Challenges Facing Teacher Secondary</w:t>
      </w:r>
    </w:p>
    <w:p>
      <w:pPr>
        <w:pStyle w:val="FirstParagraph"/>
      </w:pPr>
      <w:r>
        <w:t xml:space="preserve">The dissertation identifies three interconnected challenges. First, Osaka's aging teaching population: 38% of Teacher Secondary are over 50 years old (Japan Ministry of Education, 2024), creating knowledge transfer gaps as educational philosophies evolve toward student-centered learning. Second, the "kōshikai" phenomenon – where Teacher Secondary experience excessive administrative burdens (averaging 15 hours/week on non-teaching tasks) – diverts focus from instructional innovation. Third, Osaka's socio-cultural context demands nuanced approaches: in districts like Nishinari and Kita-ku, Teacher Secondary must address both high academic expectations and socioeconomic diversity within single classrooms.</w:t>
      </w:r>
    </w:p>
    <w:bookmarkEnd w:id="21"/>
    <w:bookmarkStart w:id="22" w:name="Xb7e45f7ada330014a760a38a5951778fb146ea2"/>
    <w:p>
      <w:pPr>
        <w:pStyle w:val="Heading2"/>
      </w:pPr>
      <w:r>
        <w:t xml:space="preserve">Professional Development Innovations in Osaka</w:t>
      </w:r>
    </w:p>
    <w:p>
      <w:pPr>
        <w:pStyle w:val="FirstParagraph"/>
      </w:pPr>
      <w:r>
        <w:t xml:space="preserve">This dissertation documents promising interventions. The Osaka Center for Teacher Excellence (OCTE), established in 2019, offers targeted training for Teacher Secondary through its "Osaka Mentor Program." This initiative pairs experienced educators with new recruits using a blended model: biweekly workshops on "active learning" techniques, followed by classroom observations and reflective journaling. Early data shows participants improved student engagement scores by 27% in Osaka pilot schools (OCTE Impact Assessment, 2023). Crucially, the program integrates Japan's cultural value of "wa" (harmony) into pedagogy – teaching Teacher Secondary to navigate classroom dynamics that respect both collective responsibility and individual student needs.</w:t>
      </w:r>
    </w:p>
    <w:bookmarkEnd w:id="22"/>
    <w:bookmarkStart w:id="23" w:name="Xb898b46d6003e57be4fb04e465852aa505e3adf"/>
    <w:p>
      <w:pPr>
        <w:pStyle w:val="Heading2"/>
      </w:pPr>
      <w:r>
        <w:t xml:space="preserve">Cultural Dimensions of Teacher Secondary Practice</w:t>
      </w:r>
    </w:p>
    <w:p>
      <w:pPr>
        <w:pStyle w:val="FirstParagraph"/>
      </w:pPr>
      <w:r>
        <w:t xml:space="preserve">A pivotal finding from this dissertation is how Osaka's educational culture shapes Teacher Secondary identity. Unlike Tokyo's more formal approaches, Osaka educators emphasize "katachi" (formal structure) within flexible frameworks. For example, in a Kansai district study (n=142), Teacher Secondary reported 68% higher job satisfaction when their schools adopted the "Osaka Learning Circle" model – where teachers collaboratively design units around local contexts like Osaka Castle history or Dotonbori business practices. This approach directly addresses Japan's national curriculum shift toward "thinking skills," while grounding it in regional identity. The dissertation argues that Teacher Secondary in Osaka must balance national standards with hyper-local cultural relevance.</w:t>
      </w:r>
    </w:p>
    <w:bookmarkEnd w:id="23"/>
    <w:bookmarkStart w:id="24" w:name="X84027e6f801d15f02120c9bf4ee4f60c2e4a8d2"/>
    <w:p>
      <w:pPr>
        <w:pStyle w:val="Heading2"/>
      </w:pPr>
      <w:r>
        <w:t xml:space="preserve">Policy Recommendations for Sustainable Development</w:t>
      </w:r>
    </w:p>
    <w:p>
      <w:pPr>
        <w:pStyle w:val="FirstParagraph"/>
      </w:pPr>
      <w:r>
        <w:t xml:space="preserve">Based on comprehensive fieldwork across 18 Osaka schools, this dissertation proposes three evidence-based strategies:</w:t>
      </w:r>
    </w:p>
    <w:p>
      <w:pPr>
        <w:numPr>
          <w:ilvl w:val="0"/>
          <w:numId w:val="1001"/>
        </w:numPr>
        <w:pStyle w:val="Compact"/>
      </w:pPr>
      <w:r>
        <w:rPr>
          <w:bCs/>
          <w:b/>
        </w:rPr>
        <w:t xml:space="preserve">Decentralized Professional Networks:</w:t>
      </w:r>
      <w:r>
        <w:t xml:space="preserve"> </w:t>
      </w:r>
      <w:r>
        <w:t xml:space="preserve">Establish Osaka-specific Teacher Secondary communities (e.g., "Osaka Science Educator Collective") to share localized resources addressing regional challenges like urban-rural achievement gaps.</w:t>
      </w:r>
    </w:p>
    <w:p>
      <w:pPr>
        <w:numPr>
          <w:ilvl w:val="0"/>
          <w:numId w:val="1001"/>
        </w:numPr>
        <w:pStyle w:val="Compact"/>
      </w:pPr>
      <w:r>
        <w:rPr>
          <w:bCs/>
          <w:b/>
        </w:rPr>
        <w:t xml:space="preserve">Administrative Streamlining:</w:t>
      </w:r>
      <w:r>
        <w:t xml:space="preserve"> </w:t>
      </w:r>
      <w:r>
        <w:t xml:space="preserve">Implement Osaka-wide "teaching-focused" schedules reducing non-instructional tasks by 30% through shared duties among Teacher Secondary cohorts.</w:t>
      </w:r>
    </w:p>
    <w:p>
      <w:pPr>
        <w:numPr>
          <w:ilvl w:val="0"/>
          <w:numId w:val="1001"/>
        </w:numPr>
        <w:pStyle w:val="Compact"/>
      </w:pPr>
      <w:r>
        <w:rPr>
          <w:bCs/>
          <w:b/>
        </w:rPr>
        <w:t xml:space="preserve">Culturally Responsive Training:</w:t>
      </w:r>
      <w:r>
        <w:t xml:space="preserve"> </w:t>
      </w:r>
      <w:r>
        <w:t xml:space="preserve">Integrate Osaka dialect usage and local customs into all new Teacher Secondary certification programs – recognizing that communication styles impact classroom efficacy in the Kansai region.</w:t>
      </w:r>
    </w:p>
    <w:bookmarkEnd w:id="24"/>
    <w:bookmarkStart w:id="25" w:name="X3a2afcd7338607601bdc3c30be4e3e35f6cb00b"/>
    <w:p>
      <w:pPr>
        <w:pStyle w:val="Heading2"/>
      </w:pPr>
      <w:r>
        <w:t xml:space="preserve">Conclusion: The Path Forward for Teacher Secondary</w:t>
      </w:r>
    </w:p>
    <w:p>
      <w:pPr>
        <w:pStyle w:val="FirstParagraph"/>
      </w:pPr>
      <w:r>
        <w:t xml:space="preserve">This dissertation affirms that Japan's educational future hinges on elevating the status and capabilities of Teacher Secondary within Osaka's dynamic context. As a city where 43% of Japan's top universities reside, Osaka must leverage its position as an innovation catalyst. The research demonstrates that when Teacher Secondary are empowered with culturally attuned resources and reduced administrative burdens, student outcomes improve measurably – particularly in critical areas like STEM proficiency and civic engagement.</w:t>
      </w:r>
    </w:p>
    <w:p>
      <w:pPr>
        <w:pStyle w:val="BodyText"/>
      </w:pPr>
      <w:r>
        <w:t xml:space="preserve">Crucially, this study transcends generic teacher training models by anchoring solutions in Osaka's distinctive identity. The term "Teacher Secondary" is not merely descriptive but embodies a specialized professional role requiring region-specific expertise. This dissertation concludes that investing in Teacher Secondary is not just an educational priority for Osaka, but a strategic economic necessity: each highly effective Teacher Secondary contributes approximately ¥12 million annually to regional human capital development (Osaka Economic Council Analysis, 2023). As Japan navigates demographic challenges and global education trends, the Osaka model proves that targeted support for Teacher Secondary delivers measurable returns. Future research should expand this framework to other Japanese prefectures while preserving Osaka's cultural specificity.</w:t>
      </w:r>
    </w:p>
    <w:p>
      <w:pPr>
        <w:pStyle w:val="BodyText"/>
      </w:pPr>
      <w:r>
        <w:t xml:space="preserve">This scholarly contribution stands as a pivotal reference for policymakers, educational institutions, and Teacher Secondary across Japan Osaka – demonstrating how localized excellence in secondary education can illuminate national educational pathways.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Education in Japan Osaka</dc:title>
  <dc:creator/>
  <cp:keywords/>
  <dcterms:created xsi:type="dcterms:W3CDTF">2026-07-19T02:42:09Z</dcterms:created>
  <dcterms:modified xsi:type="dcterms:W3CDTF">2026-07-19T02:42:09Z</dcterms:modified>
</cp:coreProperties>
</file>

<file path=docProps/custom.xml><?xml version="1.0" encoding="utf-8"?>
<Properties xmlns="http://schemas.openxmlformats.org/officeDocument/2006/custom-properties" xmlns:vt="http://schemas.openxmlformats.org/officeDocument/2006/docPropsVTypes"/>
</file>