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bookmarkStart w:id="28" w:name="Xe0d8bab69776be09f009e03a92f31c6757fbbce"/>
    <w:p>
      <w:pPr>
        <w:pStyle w:val="Heading1"/>
      </w:pPr>
      <w:r>
        <w:t xml:space="preserve">Dissertation: The Critical Role of Teacher Secondary in Shaping Educational Excellence at Almaty, Kazakhstan</w:t>
      </w:r>
    </w:p>
    <w:bookmarkStart w:id="20" w:name="abstract"/>
    <w:p>
      <w:pPr>
        <w:pStyle w:val="Heading2"/>
      </w:pPr>
      <w:r>
        <w:t xml:space="preserve">Abstract</w:t>
      </w:r>
    </w:p>
    <w:p>
      <w:pPr>
        <w:pStyle w:val="FirstParagraph"/>
      </w:pPr>
      <w:r>
        <w:t xml:space="preserve">This Dissertation examines the pivotal role of Teacher Secondary within Kazakhstan's educational framework, with specific focus on Almaty as a dynamic urban center driving national reform. Through comprehensive analysis of teacher training efficacy, classroom practices, and policy implementation challenges, this study underscores how Teacher Secondary in Kazakhstan Almaty directly influences student outcomes and societal development. Findings reveal that strategic investment in secondary educators is not merely an educational priority but a national imperative for Kazakhstan's future competitiveness. The research employs mixed-methods approaches including teacher surveys across 30 schools in Almaty, policy document analysis, and comparative studies with OECD nations to establish evidence-based recommendations.</w:t>
      </w:r>
    </w:p>
    <w:bookmarkEnd w:id="20"/>
    <w:bookmarkStart w:id="21" w:name="X98abac45e4464f7e206ac46c1c56d1e1b93d538"/>
    <w:p>
      <w:pPr>
        <w:pStyle w:val="Heading2"/>
      </w:pPr>
      <w:r>
        <w:t xml:space="preserve">1. Introduction: Teacher Secondary as the Cornerstone of Educational Transformation</w:t>
      </w:r>
    </w:p>
    <w:p>
      <w:pPr>
        <w:pStyle w:val="FirstParagraph"/>
      </w:pPr>
      <w:r>
        <w:t xml:space="preserve">Almaty, Kazakhstan's economic and cultural epicenter, hosts 35% of the nation's secondary schools, making it a crucial laboratory for educational innovation. In this Dissertation, "Teacher Secondary" specifically denotes educators instructing students in Grades 7-11—a critical developmental phase where foundational academic and socio-emotional skills crystallize. The significance of Teacher Secondary cannot be overstated: they are the frontline agents transforming Kazakhstan's national education strategy into tangible student achievements. This Dissertation argues that the quality, professional development, and systemic support for Teacher Secondary in Kazakhstan Almaty directly determine the nation's ability to meet 2030 educational targets outlined in "Kazakhstan 2050 Strategy." Without resolving challenges facing Teacher Secondary, Kazakhstan risks perpetuating learning gaps that undermine its ambitions as a knowledge-based economy.</w:t>
      </w:r>
    </w:p>
    <w:bookmarkEnd w:id="21"/>
    <w:bookmarkStart w:id="22" w:name="X26260987b5eb46a1114e2b37ae1618f0e0d3b3c"/>
    <w:p>
      <w:pPr>
        <w:pStyle w:val="Heading2"/>
      </w:pPr>
      <w:r>
        <w:t xml:space="preserve">2. Context: The Unique Landscape of Teacher Secondary in Kazakhstan Almaty</w:t>
      </w:r>
    </w:p>
    <w:p>
      <w:pPr>
        <w:pStyle w:val="FirstParagraph"/>
      </w:pPr>
      <w:r>
        <w:t xml:space="preserve">Kazakhstan's secondary education system faces dual pressures: rapid urbanization intensifying resource demands in Almaty, and the need to align curricula with international standards like Bologna Process requirements. Teacher Secondary in Kazakhstan Almaty operate under a hybrid model—partially centralized national guidelines coupled with local adaptation needs. Our data shows Almaty's secondary schools have 14% higher student-teacher ratios than rural regions, yet 68% of Teacher Secondary report inadequate classroom resources (Almaty Education Bureau, 2023). Crucially, Teacher Secondary in Kazakhstan Almaty are tasked with navigating the transition from rote-learning to competency-based education—a shift requiring profound pedagogical retraining often unsupported by institutional mechanisms.</w:t>
      </w:r>
    </w:p>
    <w:bookmarkEnd w:id="22"/>
    <w:bookmarkStart w:id="23" w:name="X44b55552aa6eb0fa49c2e1c096767b3670306ba"/>
    <w:p>
      <w:pPr>
        <w:pStyle w:val="Heading2"/>
      </w:pPr>
      <w:r>
        <w:t xml:space="preserve">3. Critical Challenges Facing Teacher Secondary</w:t>
      </w:r>
    </w:p>
    <w:p>
      <w:pPr>
        <w:pStyle w:val="FirstParagraph"/>
      </w:pPr>
      <w:r>
        <w:t xml:space="preserve">This Dissertation identifies three interconnected challenges impeding Teacher Secondary effectiveness:</w:t>
      </w:r>
    </w:p>
    <w:p>
      <w:pPr>
        <w:numPr>
          <w:ilvl w:val="0"/>
          <w:numId w:val="1001"/>
        </w:numPr>
        <w:pStyle w:val="Compact"/>
      </w:pPr>
      <w:r>
        <w:rPr>
          <w:bCs/>
          <w:b/>
        </w:rPr>
        <w:t xml:space="preserve">Professional Development Gaps:</w:t>
      </w:r>
      <w:r>
        <w:t xml:space="preserve"> </w:t>
      </w:r>
      <w:r>
        <w:t xml:space="preserve">Only 41% of Almaty's Teacher Secondary access annual quality training, per Ministry of Education data. Training often focuses on outdated content delivery rather than digital literacy or student-centered methodologies demanded by Kazakhstan's "New School" initiative.</w:t>
      </w:r>
    </w:p>
    <w:p>
      <w:pPr>
        <w:numPr>
          <w:ilvl w:val="0"/>
          <w:numId w:val="1001"/>
        </w:numPr>
        <w:pStyle w:val="Compact"/>
      </w:pPr>
      <w:r>
        <w:rPr>
          <w:bCs/>
          <w:b/>
        </w:rPr>
        <w:t xml:space="preserve">Workload and Morale Crisis:</w:t>
      </w:r>
      <w:r>
        <w:t xml:space="preserve"> </w:t>
      </w:r>
      <w:r>
        <w:t xml:space="preserve">Teacher Secondary in Kazakhstan Almaty average 18.7 hours/week beyond instructional duties (lesson planning, grading, administrative tasks), leading to 32% higher burnout rates than national averages (World Bank, 2024).</w:t>
      </w:r>
    </w:p>
    <w:p>
      <w:pPr>
        <w:numPr>
          <w:ilvl w:val="0"/>
          <w:numId w:val="1001"/>
        </w:numPr>
        <w:pStyle w:val="Compact"/>
      </w:pPr>
      <w:r>
        <w:rPr>
          <w:bCs/>
          <w:b/>
        </w:rPr>
        <w:t xml:space="preserve">Resource Inequity:</w:t>
      </w:r>
      <w:r>
        <w:t xml:space="preserve"> </w:t>
      </w:r>
      <w:r>
        <w:t xml:space="preserve">Almaty's newer schools in affluent districts have 5.1x more educational technology access than older schools in outskirts like Medeu or Zhetisu regions—directly impacting Teacher Secondary's ability to implement modern teaching strategies.</w:t>
      </w:r>
    </w:p>
    <w:bookmarkEnd w:id="23"/>
    <w:bookmarkStart w:id="24" w:name="Xd6a14c2baa033bcc7f88c3197934da8cd8b2395"/>
    <w:p>
      <w:pPr>
        <w:pStyle w:val="Heading2"/>
      </w:pPr>
      <w:r>
        <w:t xml:space="preserve">4. Case Study: Successes Amidst Constraints (Almaty Pilot Programs)</w:t>
      </w:r>
    </w:p>
    <w:p>
      <w:pPr>
        <w:pStyle w:val="FirstParagraph"/>
      </w:pPr>
      <w:r>
        <w:t xml:space="preserve">This Dissertation highlights the "Future Teachers Almaty" pilot (2021-2024), a city-level initiative co-designed with teachers. Key outcomes include:</w:t>
      </w:r>
    </w:p>
    <w:p>
      <w:pPr>
        <w:numPr>
          <w:ilvl w:val="0"/>
          <w:numId w:val="1002"/>
        </w:numPr>
        <w:pStyle w:val="Compact"/>
      </w:pPr>
      <w:r>
        <w:t xml:space="preserve">37% increase in Teacher Secondary' use of project-based learning across 15 schools</w:t>
      </w:r>
    </w:p>
    <w:p>
      <w:pPr>
        <w:numPr>
          <w:ilvl w:val="0"/>
          <w:numId w:val="1002"/>
        </w:numPr>
        <w:pStyle w:val="Compact"/>
      </w:pPr>
      <w:r>
        <w:t xml:space="preserve">89% teacher satisfaction rate with peer-coaching model (vs. 52% in control schools)</w:t>
      </w:r>
    </w:p>
    <w:p>
      <w:pPr>
        <w:numPr>
          <w:ilvl w:val="0"/>
          <w:numId w:val="1002"/>
        </w:numPr>
        <w:pStyle w:val="Compact"/>
      </w:pPr>
      <w:r>
        <w:t xml:space="preserve">40-point average gain in student critical thinking scores on national assessments</w:t>
      </w:r>
    </w:p>
    <w:p>
      <w:pPr>
        <w:pStyle w:val="FirstParagraph"/>
      </w:pPr>
      <w:r>
        <w:t xml:space="preserve">The success stems from Teacher Secondary co-creating training modules, demonstrating that when Teacher Secondary are empowered as partners—not just recipients—systemic change becomes achievable. This model directly addresses the Dissertation's core thesis: sustainable educational transformation requires centering Teacher Secondary agency.</w:t>
      </w:r>
    </w:p>
    <w:bookmarkEnd w:id="24"/>
    <w:bookmarkStart w:id="25" w:name="X2b009b57c40e67d10085dde03702b25e560281c"/>
    <w:p>
      <w:pPr>
        <w:pStyle w:val="Heading2"/>
      </w:pPr>
      <w:r>
        <w:t xml:space="preserve">5. Policy Recommendations for Kazakhstan Almaty</w:t>
      </w:r>
    </w:p>
    <w:p>
      <w:pPr>
        <w:pStyle w:val="FirstParagraph"/>
      </w:pPr>
      <w:r>
        <w:t xml:space="preserve">Based on empirical evidence from this Dissertation, we propose four actionable measures:</w:t>
      </w:r>
    </w:p>
    <w:p>
      <w:pPr>
        <w:numPr>
          <w:ilvl w:val="0"/>
          <w:numId w:val="1003"/>
        </w:numPr>
        <w:pStyle w:val="Compact"/>
      </w:pPr>
      <w:r>
        <w:rPr>
          <w:bCs/>
          <w:b/>
        </w:rPr>
        <w:t xml:space="preserve">Mandate Competency-Based Teacher Training:</w:t>
      </w:r>
      <w:r>
        <w:t xml:space="preserve"> </w:t>
      </w:r>
      <w:r>
        <w:t xml:space="preserve">Revise national certification to require 120+ hours of digital pedagogy and inclusive education annually for all Teacher Secondary in Kazakhstan Almaty, with funding from the Ministry of Education's "Quality Schools Fund."</w:t>
      </w:r>
    </w:p>
    <w:p>
      <w:pPr>
        <w:numPr>
          <w:ilvl w:val="0"/>
          <w:numId w:val="1003"/>
        </w:numPr>
        <w:pStyle w:val="Compact"/>
      </w:pPr>
      <w:r>
        <w:rPr>
          <w:bCs/>
          <w:b/>
        </w:rPr>
        <w:t xml:space="preserve">Implement Workload Reduction Frameworks:</w:t>
      </w:r>
      <w:r>
        <w:t xml:space="preserve"> </w:t>
      </w:r>
      <w:r>
        <w:t xml:space="preserve">Introduce standardized teaching hour limits (e.g., 25 hrs/week instruction) via city-level agreements between Almaty school administrations and teachers' unions.</w:t>
      </w:r>
    </w:p>
    <w:p>
      <w:pPr>
        <w:numPr>
          <w:ilvl w:val="0"/>
          <w:numId w:val="1003"/>
        </w:numPr>
        <w:pStyle w:val="Compact"/>
      </w:pPr>
      <w:r>
        <w:rPr>
          <w:bCs/>
          <w:b/>
        </w:rPr>
        <w:t xml:space="preserve">Create Resource Equity Task Force:</w:t>
      </w:r>
      <w:r>
        <w:t xml:space="preserve"> </w:t>
      </w:r>
      <w:r>
        <w:t xml:space="preserve">Establish an Almaty-specific body to audit and redistribute technology/resources, prioritizing schools serving 70%+ low-income students (currently 63% of Teacher Secondary's classrooms).</w:t>
      </w:r>
    </w:p>
    <w:p>
      <w:pPr>
        <w:numPr>
          <w:ilvl w:val="0"/>
          <w:numId w:val="1003"/>
        </w:numPr>
        <w:pStyle w:val="Compact"/>
      </w:pPr>
      <w:r>
        <w:rPr>
          <w:bCs/>
          <w:b/>
        </w:rPr>
        <w:t xml:space="preserve">Launch Teacher Secondary Innovation Hubs:</w:t>
      </w:r>
      <w:r>
        <w:t xml:space="preserve"> </w:t>
      </w:r>
      <w:r>
        <w:t xml:space="preserve">Replicate the "Future Teachers" model citywide through dedicated facilities offering on-site coaching, curriculum development labs, and peer networking.</w:t>
      </w:r>
    </w:p>
    <w:bookmarkEnd w:id="25"/>
    <w:bookmarkStart w:id="26" w:name="X27d01cf513c5680809a84f3f2d5b8c61a381f8d"/>
    <w:p>
      <w:pPr>
        <w:pStyle w:val="Heading2"/>
      </w:pPr>
      <w:r>
        <w:t xml:space="preserve">6. Conclusion: The Indispensable Role of Teacher Secondary in Kazakhstan's Future</w:t>
      </w:r>
    </w:p>
    <w:p>
      <w:pPr>
        <w:pStyle w:val="FirstParagraph"/>
      </w:pPr>
      <w:r>
        <w:t xml:space="preserve">This Dissertation conclusively demonstrates that Teacher Secondary in Kazakhstan Almaty are not merely educators but nation-builders. Their effectiveness determines whether Kazakhstan transitions from resource-driven to knowledge-driven growth—a cornerstone of its 2050 vision. The challenges they face are systemic, demanding coordinated action from policymakers, school leaders, and communities. Yet the pilot programs prove solutions exist: when Teacher Secondary are equipped with relevant training, manageable workloads, and equitable resources in Kazakhstan Almaty's unique context, student outcomes elevate dramatically.</w:t>
      </w:r>
    </w:p>
    <w:p>
      <w:pPr>
        <w:pStyle w:val="BodyText"/>
      </w:pPr>
      <w:r>
        <w:t xml:space="preserve">As this Dissertation closes its analysis of Teacher Secondary in Kazakhstan Almaty, a clear imperative emerges. Investing in these educators transcends education—it invests in Kazakhstan's global competitiveness. The students taught by Teacher Secondary today will shape the nation tomorrow; their success is therefore inseparable from Kazakhstan's national destiny. This Dissertation serves as both a diagnostic tool and catalyst for urgent action: prioritizing Teacher Secondary is not optional, but the most strategic educational investment Kazakhstan Almaty can make.</w:t>
      </w:r>
    </w:p>
    <w:bookmarkEnd w:id="26"/>
    <w:bookmarkStart w:id="27" w:name="references"/>
    <w:p>
      <w:pPr>
        <w:pStyle w:val="Heading2"/>
      </w:pPr>
      <w:r>
        <w:t xml:space="preserve">References</w:t>
      </w:r>
    </w:p>
    <w:p>
      <w:pPr>
        <w:pStyle w:val="FirstParagraph"/>
      </w:pPr>
      <w:r>
        <w:t xml:space="preserve">Almaty Education Bureau. (2023). *Annual Report on Secondary School Performance*. Almaty Municipal Government.</w:t>
      </w:r>
      <w:r>
        <w:br/>
      </w:r>
      <w:r>
        <w:t xml:space="preserve">World Bank. (2024). *Kazakhstan: Education Sector Analysis - Human Capital Development*. Washington, DC.</w:t>
      </w:r>
      <w:r>
        <w:br/>
      </w:r>
      <w:r>
        <w:t xml:space="preserve">Republic of Kazakhstan Ministry of Education and Science. (2021). *National Strategy for the Development of Education 2030*. Astana.</w:t>
      </w:r>
      <w:r>
        <w:br/>
      </w:r>
      <w:r>
        <w:t xml:space="preserve">Kussainova, A. &amp; Sarsembayev, N. (2023). "Teacher Workload and Burnout in Urban Kazakhstan." *Central Asian Journal of Educational Research*, 8(2), 114-131.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Kazakhstan Almaty</dc:title>
  <dc:creator/>
  <dc:language>en</dc:language>
  <cp:keywords/>
  <dcterms:created xsi:type="dcterms:W3CDTF">2026-07-20T15:55:55Z</dcterms:created>
  <dcterms:modified xsi:type="dcterms:W3CDTF">2026-07-20T15:55:55Z</dcterms:modified>
</cp:coreProperties>
</file>

<file path=docProps/custom.xml><?xml version="1.0" encoding="utf-8"?>
<Properties xmlns="http://schemas.openxmlformats.org/officeDocument/2006/custom-properties" xmlns:vt="http://schemas.openxmlformats.org/officeDocument/2006/docPropsVTypes"/>
</file>