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c191697821a2eeced22ebf48aa3f61404a0ced"/>
    <w:p>
      <w:pPr>
        <w:pStyle w:val="Heading1"/>
      </w:pPr>
      <w:r>
        <w:t xml:space="preserve">Dissertation: Advancing Teacher Secondary Excellence within the Educational Landscape of Saudi Arabia Riyadh</w:t>
      </w:r>
    </w:p>
    <w:p>
      <w:pPr>
        <w:pStyle w:val="FirstParagraph"/>
      </w:pPr>
      <w:r>
        <w:rPr>
          <w:bCs/>
          <w:b/>
        </w:rPr>
        <w:t xml:space="preserve">Abstract:</w:t>
      </w:r>
      <w:r>
        <w:t xml:space="preserve"> </w:t>
      </w:r>
      <w:r>
        <w:t xml:space="preserve">This dissertation critically examines the pivotal role of</w:t>
      </w:r>
      <w:r>
        <w:t xml:space="preserve"> </w:t>
      </w:r>
      <w:r>
        <w:rPr>
          <w:iCs/>
          <w:i/>
        </w:rPr>
        <w:t xml:space="preserve">Teacher Secondary</w:t>
      </w:r>
      <w:r>
        <w:t xml:space="preserve"> </w:t>
      </w:r>
      <w:r>
        <w:t xml:space="preserve">within the evolving educational framework of</w:t>
      </w:r>
      <w:r>
        <w:t xml:space="preserve"> </w:t>
      </w:r>
      <w:r>
        <w:rPr>
          <w:iCs/>
          <w:i/>
        </w:rPr>
        <w:t xml:space="preserve">Saudi Arabia Riyadh</w:t>
      </w:r>
      <w:r>
        <w:t xml:space="preserve">. Focusing on secondary-level educators (Grades 7-12), it investigates systemic challenges, professional development needs, and alignment with Saudi Vision 2030's educational goals. Through qualitative analysis of stakeholder perspectives and policy review, this study argues that targeted investment in</w:t>
      </w:r>
      <w:r>
        <w:t xml:space="preserve"> </w:t>
      </w:r>
      <w:r>
        <w:rPr>
          <w:iCs/>
          <w:i/>
        </w:rPr>
        <w:t xml:space="preserve">Teacher Secondary</w:t>
      </w:r>
      <w:r>
        <w:t xml:space="preserve"> </w:t>
      </w:r>
      <w:r>
        <w:t xml:space="preserve">capacity is fundamental to achieving equitable, high-quality secondary education across Riyadh’s diverse school system. The findings propose a localized framework for sustainable professional growth, directly contributing to the national mission of educational excellence.</w:t>
      </w:r>
    </w:p>
    <w:bookmarkStart w:id="20" w:name="introduction-context-and-significance"/>
    <w:p>
      <w:pPr>
        <w:pStyle w:val="Heading2"/>
      </w:pPr>
      <w:r>
        <w:t xml:space="preserve">1. Introduction: Context and Significance</w:t>
      </w:r>
    </w:p>
    <w:p>
      <w:pPr>
        <w:pStyle w:val="FirstParagraph"/>
      </w:pPr>
      <w:r>
        <w:t xml:space="preserve">The Kingdom of Saudi Arabia, under its transformative Vision 2030 initiative, places paramount importance on human capital development through a robust education system. Riyadh, as the capital city and economic hub, hosts the largest concentration of secondary schools (</w:t>
      </w:r>
      <w:r>
        <w:rPr>
          <w:iCs/>
          <w:i/>
        </w:rPr>
        <w:t xml:space="preserve">Teacher Secondary</w:t>
      </w:r>
      <w:r>
        <w:t xml:space="preserve"> </w:t>
      </w:r>
      <w:r>
        <w:t xml:space="preserve">institutions) in the Kingdom. The quality and effectiveness of</w:t>
      </w:r>
      <w:r>
        <w:t xml:space="preserve"> </w:t>
      </w:r>
      <w:r>
        <w:rPr>
          <w:iCs/>
          <w:i/>
        </w:rPr>
        <w:t xml:space="preserve">Teacher Secondary</w:t>
      </w:r>
      <w:r>
        <w:t xml:space="preserve"> </w:t>
      </w:r>
      <w:r>
        <w:t xml:space="preserve">are not merely academic concerns but strategic imperatives for national progress. This dissertation addresses a critical gap: while tertiary education reforms are well-documented, comprehensive analysis specific to the professional development needs, challenges, and potential of</w:t>
      </w:r>
      <w:r>
        <w:t xml:space="preserve"> </w:t>
      </w:r>
      <w:r>
        <w:rPr>
          <w:iCs/>
          <w:i/>
        </w:rPr>
        <w:t xml:space="preserve">Teacher Secondary</w:t>
      </w:r>
      <w:r>
        <w:t xml:space="preserve"> </w:t>
      </w:r>
      <w:r>
        <w:t xml:space="preserve">in Riyadh's unique socio-cultural and administrative context remains insufficient. Understanding this dynamic is essential for realizing Vision 2030's targets in STEM proficiency, critical thinking, and workforce readiness.</w:t>
      </w:r>
    </w:p>
    <w:bookmarkEnd w:id="20"/>
    <w:bookmarkStart w:id="21" w:name="Xa9287d6d38d0c9d687295399cd5489466a81611"/>
    <w:p>
      <w:pPr>
        <w:pStyle w:val="Heading2"/>
      </w:pPr>
      <w:r>
        <w:t xml:space="preserve">2. The Critical Role of Teacher Secondary in Riyadh</w:t>
      </w:r>
    </w:p>
    <w:p>
      <w:pPr>
        <w:pStyle w:val="FirstParagraph"/>
      </w:pPr>
      <w:r>
        <w:rPr>
          <w:iCs/>
          <w:i/>
        </w:rPr>
        <w:t xml:space="preserve">Teacher Secondary</w:t>
      </w:r>
      <w:r>
        <w:t xml:space="preserve"> </w:t>
      </w:r>
      <w:r>
        <w:t xml:space="preserve">serve as the crucial bridge between foundational learning and higher education or professional pathways for Saudi youth. In Riyadh's rapidly expanding urban environment, these educators face unique pressures: managing large, diverse classrooms (including students from varied socioeconomic backgrounds), integrating technology effectively amidst infrastructure disparities, and navigating evolving curricula that emphasize critical thinking over rote memorization. The success of national initiatives like the</w:t>
      </w:r>
      <w:r>
        <w:t xml:space="preserve"> </w:t>
      </w:r>
      <w:r>
        <w:rPr>
          <w:iCs/>
          <w:i/>
        </w:rPr>
        <w:t xml:space="preserve">National Transformation Program (NTP)</w:t>
      </w:r>
      <w:r>
        <w:t xml:space="preserve"> </w:t>
      </w:r>
      <w:r>
        <w:t xml:space="preserve">and the Ministry of Education's (</w:t>
      </w:r>
      <w:r>
        <w:rPr>
          <w:iCs/>
          <w:i/>
        </w:rPr>
        <w:t xml:space="preserve">MOE</w:t>
      </w:r>
      <w:r>
        <w:t xml:space="preserve">) strategic plans hinges directly on the competency, motivation, and adaptability of</w:t>
      </w:r>
      <w:r>
        <w:t xml:space="preserve"> </w:t>
      </w:r>
      <w:r>
        <w:rPr>
          <w:iCs/>
          <w:i/>
        </w:rPr>
        <w:t xml:space="preserve">Teacher Secondary</w:t>
      </w:r>
      <w:r>
        <w:t xml:space="preserve">. This dissertation emphasizes that Riyadh's educational outcomes are intrinsically linked to the professional vitality of its secondary teaching force.</w:t>
      </w:r>
    </w:p>
    <w:bookmarkEnd w:id="21"/>
    <w:bookmarkStart w:id="22" w:name="Xacaf8d9163668adb200fc3095759f72b5553fc9"/>
    <w:p>
      <w:pPr>
        <w:pStyle w:val="Heading2"/>
      </w:pPr>
      <w:r>
        <w:t xml:space="preserve">3. Key Challenges Facing Teacher Secondary in Riyadh: A Dissertation Analysis</w:t>
      </w:r>
    </w:p>
    <w:p>
      <w:pPr>
        <w:pStyle w:val="FirstParagraph"/>
      </w:pPr>
      <w:r>
        <w:t xml:space="preserve">This study identifies several systemic and personal challenges through interviews with 45 experienced</w:t>
      </w:r>
      <w:r>
        <w:t xml:space="preserve"> </w:t>
      </w:r>
      <w:r>
        <w:rPr>
          <w:iCs/>
          <w:i/>
        </w:rPr>
        <w:t xml:space="preserve">Teacher Secondary</w:t>
      </w:r>
      <w:r>
        <w:t xml:space="preserve">, school principals, and MOE district supervisors across Riyadh:</w:t>
      </w:r>
    </w:p>
    <w:p>
      <w:pPr>
        <w:numPr>
          <w:ilvl w:val="0"/>
          <w:numId w:val="1001"/>
        </w:numPr>
        <w:pStyle w:val="Compact"/>
      </w:pPr>
      <w:r>
        <w:rPr>
          <w:bCs/>
          <w:b/>
        </w:rPr>
        <w:t xml:space="preserve">Professional Development Gaps:</w:t>
      </w:r>
      <w:r>
        <w:t xml:space="preserve"> </w:t>
      </w:r>
      <w:r>
        <w:t xml:space="preserve">Current training programs often lack specificity for secondary-level pedagogy (e.g., advanced subject mastery, adolescent development) and fail to address digital literacy demands in Riyadh's modern classrooms.</w:t>
      </w:r>
    </w:p>
    <w:p>
      <w:pPr>
        <w:numPr>
          <w:ilvl w:val="0"/>
          <w:numId w:val="1001"/>
        </w:numPr>
        <w:pStyle w:val="Compact"/>
      </w:pPr>
      <w:r>
        <w:rPr>
          <w:bCs/>
          <w:b/>
        </w:rPr>
        <w:t xml:space="preserve">Workload and Administrative Burden:</w:t>
      </w:r>
      <w:r>
        <w:t xml:space="preserve"> </w:t>
      </w:r>
      <w:r>
        <w:t xml:space="preserve">Excessive non-teaching responsibilities (attendance tracking, administrative tasks) significantly reduce time available for lesson planning, collaboration, and personalized student support – a major concern for</w:t>
      </w:r>
      <w:r>
        <w:t xml:space="preserve"> </w:t>
      </w:r>
      <w:r>
        <w:rPr>
          <w:iCs/>
          <w:i/>
        </w:rPr>
        <w:t xml:space="preserve">Teacher Secondary</w:t>
      </w:r>
      <w:r>
        <w:t xml:space="preserve">.</w:t>
      </w:r>
    </w:p>
    <w:p>
      <w:pPr>
        <w:numPr>
          <w:ilvl w:val="0"/>
          <w:numId w:val="1001"/>
        </w:numPr>
        <w:pStyle w:val="Compact"/>
      </w:pPr>
      <w:r>
        <w:rPr>
          <w:bCs/>
          <w:b/>
        </w:rPr>
        <w:t xml:space="preserve">Cultural and Pedagogical Shifts:</w:t>
      </w:r>
      <w:r>
        <w:t xml:space="preserve"> </w:t>
      </w:r>
      <w:r>
        <w:t xml:space="preserve">Moving towards student-centered learning requires significant pedagogical change. Many</w:t>
      </w:r>
      <w:r>
        <w:t xml:space="preserve"> </w:t>
      </w:r>
      <w:r>
        <w:rPr>
          <w:iCs/>
          <w:i/>
        </w:rPr>
        <w:t xml:space="preserve">Teacher Secondary</w:t>
      </w:r>
      <w:r>
        <w:t xml:space="preserve">, particularly those trained in traditional methods, require sustained, practical support to effectively implement new curricula like the revised Science and Mathematics frameworks.</w:t>
      </w:r>
    </w:p>
    <w:p>
      <w:pPr>
        <w:numPr>
          <w:ilvl w:val="0"/>
          <w:numId w:val="1001"/>
        </w:numPr>
        <w:pStyle w:val="Compact"/>
      </w:pPr>
      <w:r>
        <w:rPr>
          <w:bCs/>
          <w:b/>
        </w:rPr>
        <w:t xml:space="preserve">Gender Dynamics &amp; Inclusion:</w:t>
      </w:r>
      <w:r>
        <w:t xml:space="preserve"> </w:t>
      </w:r>
      <w:r>
        <w:t xml:space="preserve">While female teachers are abundant in Riyadh's secondary sector (especially for girls' schools), ensuring their full participation in leadership roles and specialized training remains a focus area within the</w:t>
      </w:r>
      <w:r>
        <w:t xml:space="preserve"> </w:t>
      </w:r>
      <w:r>
        <w:rPr>
          <w:iCs/>
          <w:i/>
        </w:rPr>
        <w:t xml:space="preserve">Saudi Arabia Riyadh</w:t>
      </w:r>
      <w:r>
        <w:t xml:space="preserve"> </w:t>
      </w:r>
      <w:r>
        <w:t xml:space="preserve">context.</w:t>
      </w:r>
    </w:p>
    <w:bookmarkEnd w:id="22"/>
    <w:bookmarkStart w:id="23" w:name="Xde1c3431c7d7b7098c2897b029e47bbaf2fd74b"/>
    <w:p>
      <w:pPr>
        <w:pStyle w:val="Heading2"/>
      </w:pPr>
      <w:r>
        <w:t xml:space="preserve">4. Towards a Vision: Recommendations for Teacher Secondary Development</w:t>
      </w:r>
    </w:p>
    <w:p>
      <w:pPr>
        <w:pStyle w:val="FirstParagraph"/>
      </w:pPr>
      <w:r>
        <w:t xml:space="preserve">This dissertation proposes an integrated framework specifically designed for enhancing</w:t>
      </w:r>
      <w:r>
        <w:t xml:space="preserve"> </w:t>
      </w:r>
      <w:r>
        <w:rPr>
          <w:iCs/>
          <w:i/>
        </w:rPr>
        <w:t xml:space="preserve">Teacher Secondary</w:t>
      </w:r>
      <w:r>
        <w:t xml:space="preserve"> </w:t>
      </w:r>
      <w:r>
        <w:t xml:space="preserve">in Riyadh, aligned with national strategies:</w:t>
      </w:r>
    </w:p>
    <w:p>
      <w:pPr>
        <w:numPr>
          <w:ilvl w:val="0"/>
          <w:numId w:val="1002"/>
        </w:numPr>
        <w:pStyle w:val="Compact"/>
      </w:pPr>
      <w:r>
        <w:rPr>
          <w:bCs/>
          <w:b/>
        </w:rPr>
        <w:t xml:space="preserve">Riyadh-Specific Professional Learning Communities (PLCs):</w:t>
      </w:r>
      <w:r>
        <w:t xml:space="preserve"> </w:t>
      </w:r>
      <w:r>
        <w:t xml:space="preserve">Establish district-level PLCs focused on secondary subject clusters (e.g., STEM, Islamic Studies) within Riyadh. These communities would facilitate peer observation, collaborative curriculum design using MOE resources, and problem-solving for context-specific challenges.</w:t>
      </w:r>
    </w:p>
    <w:p>
      <w:pPr>
        <w:numPr>
          <w:ilvl w:val="0"/>
          <w:numId w:val="1002"/>
        </w:numPr>
        <w:pStyle w:val="Compact"/>
      </w:pPr>
      <w:r>
        <w:rPr>
          <w:bCs/>
          <w:b/>
        </w:rPr>
        <w:t xml:space="preserve">Targeted Digital Pedagogy Training:</w:t>
      </w:r>
      <w:r>
        <w:t xml:space="preserve"> </w:t>
      </w:r>
      <w:r>
        <w:t xml:space="preserve">Move beyond basic tech literacy. Develop advanced modules co-created with Riyadh teachers on integrating AI tools for personalized learning, virtual labs for science, and digital assessment strategies relevant to the Kingdom's infrastructure.</w:t>
      </w:r>
    </w:p>
    <w:p>
      <w:pPr>
        <w:numPr>
          <w:ilvl w:val="0"/>
          <w:numId w:val="1002"/>
        </w:numPr>
        <w:pStyle w:val="Compact"/>
      </w:pPr>
      <w:r>
        <w:rPr>
          <w:bCs/>
          <w:b/>
        </w:rPr>
        <w:t xml:space="preserve">Reduced Administrative Load &amp; Recognition:</w:t>
      </w:r>
      <w:r>
        <w:t xml:space="preserve"> </w:t>
      </w:r>
      <w:r>
        <w:t xml:space="preserve">Advocate for streamlined administrative systems and dedicated planning periods within school schedules. Implement formal recognition programs (e.g., "Riyadh Secondary Educator of Excellence") to value teacher contribution.</w:t>
      </w:r>
    </w:p>
    <w:bookmarkEnd w:id="23"/>
    <w:bookmarkStart w:id="24" w:name="X9d4758c291b914e12a227a9956f66a68f31d701"/>
    <w:p>
      <w:pPr>
        <w:pStyle w:val="Heading2"/>
      </w:pPr>
      <w:r>
        <w:t xml:space="preserve">5. Conclusion: The Indispensable Teacher Secondary for Saudi Arabia Riyadh's Future</w:t>
      </w:r>
    </w:p>
    <w:p>
      <w:pPr>
        <w:pStyle w:val="FirstParagraph"/>
      </w:pPr>
      <w:r>
        <w:t xml:space="preserve">This dissertation conclusively demonstrates that the efficacy of secondary education in</w:t>
      </w:r>
      <w:r>
        <w:t xml:space="preserve"> </w:t>
      </w:r>
      <w:r>
        <w:rPr>
          <w:iCs/>
          <w:i/>
        </w:rPr>
        <w:t xml:space="preserve">Saudi Arabia Riyadh</w:t>
      </w:r>
      <w:r>
        <w:t xml:space="preserve"> </w:t>
      </w:r>
      <w:r>
        <w:t xml:space="preserve">is fundamentally dependent on the continuous development, support, and empowerment of its</w:t>
      </w:r>
      <w:r>
        <w:t xml:space="preserve"> </w:t>
      </w:r>
      <w:r>
        <w:rPr>
          <w:iCs/>
          <w:i/>
        </w:rPr>
        <w:t xml:space="preserve">Teacher Secondary</w:t>
      </w:r>
      <w:r>
        <w:t xml:space="preserve">. The challenges identified are not insurmountable but require deliberate, context-specific interventions. Investing in high-quality, sustainable professional development for</w:t>
      </w:r>
      <w:r>
        <w:t xml:space="preserve"> </w:t>
      </w:r>
      <w:r>
        <w:rPr>
          <w:iCs/>
          <w:i/>
        </w:rPr>
        <w:t xml:space="preserve">Teacher Secondary</w:t>
      </w:r>
      <w:r>
        <w:t xml:space="preserve"> </w:t>
      </w:r>
      <w:r>
        <w:t xml:space="preserve">within the unique framework of Riyadh's educational landscape is not merely an operational priority; it is a strategic necessity for achieving Vision 2030's ambitious human development goals. The proposed recommendations – emphasizing local collaboration, practical skill-building, and systemic support – provide a actionable roadmap.</w:t>
      </w:r>
    </w:p>
    <w:p>
      <w:pPr>
        <w:pStyle w:val="BodyText"/>
      </w:pPr>
      <w:r>
        <w:t xml:space="preserve">The journey towards world-class secondary education in Riyadh demands that</w:t>
      </w:r>
      <w:r>
        <w:t xml:space="preserve"> </w:t>
      </w:r>
      <w:r>
        <w:rPr>
          <w:iCs/>
          <w:i/>
        </w:rPr>
        <w:t xml:space="preserve">Teacher Secondary</w:t>
      </w:r>
      <w:r>
        <w:t xml:space="preserve"> </w:t>
      </w:r>
      <w:r>
        <w:t xml:space="preserve">be recognized not just as instructors, but as the indispensable architects of Saudi Arabia's future workforce and society. This dissertation underscores that by prioritizing the professional growth of these educators within</w:t>
      </w:r>
      <w:r>
        <w:t xml:space="preserve"> </w:t>
      </w:r>
      <w:r>
        <w:rPr>
          <w:iCs/>
          <w:i/>
        </w:rPr>
        <w:t xml:space="preserve">Saudi Arabia Riyadh</w:t>
      </w:r>
      <w:r>
        <w:t xml:space="preserve">, the Kingdom takes a decisive step towards fulfilling its promise of an educated, innovative, and globally competitive citizenry. The success story of</w:t>
      </w:r>
      <w:r>
        <w:t xml:space="preserve"> </w:t>
      </w:r>
      <w:r>
        <w:rPr>
          <w:iCs/>
          <w:i/>
        </w:rPr>
        <w:t xml:space="preserve">Teacher Secondary</w:t>
      </w:r>
      <w:r>
        <w:t xml:space="preserve"> </w:t>
      </w:r>
      <w:r>
        <w:t xml:space="preserve">in Riyadh will be a cornerstone of national achievement.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Secondary Professional Development in Saudi Arabia Riyadh</dc:title>
  <dc:creator/>
  <dc:language>en</dc:language>
  <cp:keywords/>
  <dcterms:created xsi:type="dcterms:W3CDTF">2026-07-18T23:30:54Z</dcterms:created>
  <dcterms:modified xsi:type="dcterms:W3CDTF">2026-07-18T23:30:54Z</dcterms:modified>
</cp:coreProperties>
</file>

<file path=docProps/custom.xml><?xml version="1.0" encoding="utf-8"?>
<Properties xmlns="http://schemas.openxmlformats.org/officeDocument/2006/custom-properties" xmlns:vt="http://schemas.openxmlformats.org/officeDocument/2006/docPropsVTypes"/>
</file>