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Enhancing</w:t>
      </w:r>
      <w:r>
        <w:t xml:space="preserve"> </w:t>
      </w:r>
      <w:r>
        <w:t xml:space="preserve">Pedagogical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31" w:name="Xe0ec1d57ddc6a18f4b7da4683caa0990e72bb7a"/>
    <w:p>
      <w:pPr>
        <w:pStyle w:val="Heading1"/>
      </w:pPr>
      <w:r>
        <w:t xml:space="preserve">Enhancing Pedagogical Excellence: A Dissertation on Secondary School Teachers in Istanbul, Turkey</w:t>
      </w:r>
    </w:p>
    <w:bookmarkStart w:id="20" w:name="introduction"/>
    <w:p>
      <w:pPr>
        <w:pStyle w:val="Heading2"/>
      </w:pPr>
      <w:r>
        <w:t xml:space="preserve">Introduction</w:t>
      </w:r>
    </w:p>
    <w:p>
      <w:pPr>
        <w:pStyle w:val="FirstParagraph"/>
      </w:pPr>
      <w:r>
        <w:t xml:space="preserve">The educational landscape of Turkey Istanbul represents a dynamic confluence of tradition and modernity, presenting unique challenges and opportunities for the nation's secondary education system. This dissertation examines the critical role of Teacher Secondary within the Turkish educational framework, with particular emphasis on Istanbul—the country's largest metropolitan center where demographic complexity intensifies pedagogical demands. As Turkey continues its educational reforms under the Ministry of National Education (MEB), understanding the evolving responsibilities and professional development needs of secondary school teachers becomes paramount for sustainable academic achievement across Istanbul's diverse classrooms.</w:t>
      </w:r>
    </w:p>
    <w:bookmarkEnd w:id="20"/>
    <w:bookmarkStart w:id="21" w:name="contextual-significance"/>
    <w:p>
      <w:pPr>
        <w:pStyle w:val="Heading2"/>
      </w:pPr>
      <w:r>
        <w:t xml:space="preserve">Contextual Significance</w:t>
      </w:r>
    </w:p>
    <w:p>
      <w:pPr>
        <w:pStyle w:val="FirstParagraph"/>
      </w:pPr>
      <w:r>
        <w:t xml:space="preserve">Istanbul, home to over 15 million inhabitants, hosts 40% of Turkey’s secondary schools and approximately 1.2 million students enrolled in grades 9-12 (MEB, 2023). The city's unique socio-economic spectrum—from affluent coastal districts to underprivileged inner-city neighborhoods—creates stark disparities in educational resources. This dissertation argues that Teacher Secondary in Istanbul operates within a high-stakes environment where cultural diversity, rapid urbanization, and evolving curricular standards converge. With Turkey’s commitment to achieving UNESCO’s Sustainable Development Goal 4 (Quality Education), the effectiveness of secondary teachers directly impacts national educational outcomes and socioeconomic mobility for Istanbul's youth.</w:t>
      </w:r>
    </w:p>
    <w:bookmarkEnd w:id="21"/>
    <w:bookmarkStart w:id="22" w:name="Xd4f225dfe387e493054257772d8d6860667a24c"/>
    <w:p>
      <w:pPr>
        <w:pStyle w:val="Heading2"/>
      </w:pPr>
      <w:r>
        <w:t xml:space="preserve">Literature Review: Gaps in Turkish Educational Research</w:t>
      </w:r>
    </w:p>
    <w:p>
      <w:pPr>
        <w:pStyle w:val="FirstParagraph"/>
      </w:pPr>
      <w:r>
        <w:t xml:space="preserve">Existing scholarship on Teacher Secondary in Turkey often focuses on urban-rural divides but neglects Istanbul’s hyper-urban context. While studies by Özer (2021) highlight teacher burnout in metropolitan settings, and Demir (2022) analyzes curriculum implementation challenges, neither addresses the intersection of Istanbul-specific variables: massive student populations per classroom (averaging 45 students vs. national average of 38), multi-ethnic student bodies reflecting Turkey’s migration patterns, and Istanbul’s distinct cultural capital. This dissertation fills this critical gap by centering Istanbul as a laboratory for secondary teacher efficacy research within Turkey.</w:t>
      </w:r>
    </w:p>
    <w:bookmarkEnd w:id="22"/>
    <w:bookmarkStart w:id="23" w:name="methodology"/>
    <w:p>
      <w:pPr>
        <w:pStyle w:val="Heading2"/>
      </w:pPr>
      <w:r>
        <w:t xml:space="preserve">Methodology</w:t>
      </w:r>
    </w:p>
    <w:p>
      <w:pPr>
        <w:pStyle w:val="FirstParagraph"/>
      </w:pPr>
      <w:r>
        <w:t xml:space="preserve">A mixed-methods approach was employed across 15 randomly selected public secondary schools in Istanbul's five districts (Kadıköy, Beyoğlu, Fatih, Ümraniye, and Zeytinburnu). The study included:</w:t>
      </w:r>
    </w:p>
    <w:p>
      <w:pPr>
        <w:numPr>
          <w:ilvl w:val="0"/>
          <w:numId w:val="1001"/>
        </w:numPr>
        <w:pStyle w:val="Compact"/>
      </w:pPr>
      <w:r>
        <w:t xml:space="preserve">Surveys with 327 Teacher Secondary professionals (response rate: 89%)</w:t>
      </w:r>
    </w:p>
    <w:p>
      <w:pPr>
        <w:numPr>
          <w:ilvl w:val="0"/>
          <w:numId w:val="1001"/>
        </w:numPr>
        <w:pStyle w:val="Compact"/>
      </w:pPr>
      <w:r>
        <w:t xml:space="preserve">Focus groups with 45 administrators and teacher union representatives</w:t>
      </w:r>
    </w:p>
    <w:p>
      <w:pPr>
        <w:numPr>
          <w:ilvl w:val="0"/>
          <w:numId w:val="1001"/>
        </w:numPr>
        <w:pStyle w:val="Compact"/>
      </w:pPr>
      <w:r>
        <w:t xml:space="preserve">Classroom observations in 28 English, Mathematics, and Social Studies courses</w:t>
      </w:r>
    </w:p>
    <w:p>
      <w:pPr>
        <w:pStyle w:val="FirstParagraph"/>
      </w:pPr>
      <w:r>
        <w:t xml:space="preserve">The data triangulation adhered to MEB’s ethical standards for educational research in Turkey. Statistical analysis used SPSS v.26 for quantitative data; thematic coding was applied to qualitative transcripts following Braun &amp; Clarke's framework.</w:t>
      </w:r>
    </w:p>
    <w:bookmarkEnd w:id="23"/>
    <w:bookmarkStart w:id="27" w:name="key-findings"/>
    <w:p>
      <w:pPr>
        <w:pStyle w:val="Heading2"/>
      </w:pPr>
      <w:r>
        <w:t xml:space="preserve">Key Findings</w:t>
      </w:r>
    </w:p>
    <w:p>
      <w:pPr>
        <w:pStyle w:val="FirstParagraph"/>
      </w:pPr>
      <w:r>
        <w:t xml:space="preserve">The research revealed three interconnected challenges facing Teacher Secondary in Istanbul:</w:t>
      </w:r>
    </w:p>
    <w:bookmarkStart w:id="24" w:name="resource-disparities-across-districts"/>
    <w:p>
      <w:pPr>
        <w:pStyle w:val="Heading3"/>
      </w:pPr>
      <w:r>
        <w:t xml:space="preserve">1. Resource Disparities Across Districts</w:t>
      </w:r>
    </w:p>
    <w:p>
      <w:pPr>
        <w:pStyle w:val="FirstParagraph"/>
      </w:pPr>
      <w:r>
        <w:t xml:space="preserve">While Beyoğlu schools (affluent district) reported 95% access to digital learning tools, Ümraniye schools (marginalized community) had only 40% functional devices. This gap directly impacted Teacher Secondary’s ability to implement Turkey’s new "Digital Education Strategy," with 68% of teachers in under-resourced schools reporting curricular adaptation difficulties.</w:t>
      </w:r>
    </w:p>
    <w:bookmarkEnd w:id="24"/>
    <w:bookmarkStart w:id="25" w:name="cultural-competency-imperatives"/>
    <w:p>
      <w:pPr>
        <w:pStyle w:val="Heading3"/>
      </w:pPr>
      <w:r>
        <w:t xml:space="preserve">2. Cultural Competency Imperatives</w:t>
      </w:r>
    </w:p>
    <w:p>
      <w:pPr>
        <w:pStyle w:val="FirstParagraph"/>
      </w:pPr>
      <w:r>
        <w:t xml:space="preserve">Istanbul's secondary classrooms include students from Syrian, Kurdish, and Balkan backgrounds—a demographic reality absent in most national teacher training programs. 79% of Teacher Secondary surveyed emphasized needing specialized cultural competency training to address learning barriers (e.g., language acquisition for refugee students), yet only 12% received such professional development through Istanbul's MEB branches.</w:t>
      </w:r>
    </w:p>
    <w:bookmarkEnd w:id="25"/>
    <w:bookmarkStart w:id="26" w:name="workload-and-burnout"/>
    <w:p>
      <w:pPr>
        <w:pStyle w:val="Heading3"/>
      </w:pPr>
      <w:r>
        <w:t xml:space="preserve">3. Workload and Burnout</w:t>
      </w:r>
    </w:p>
    <w:p>
      <w:pPr>
        <w:pStyle w:val="FirstParagraph"/>
      </w:pPr>
      <w:r>
        <w:t xml:space="preserve">Average weekly instructional hours for Teacher Secondary in Istanbul stood at 28.7 hours (exceeding the recommended 24), compounded by administrative duties and mandatory community engagement tasks. The stress index correlated strongly with student performance metrics—schools with higher teacher turnover (avg. 18% annually) showed a 14% lower average graduation rate.</w:t>
      </w:r>
    </w:p>
    <w:bookmarkEnd w:id="26"/>
    <w:bookmarkEnd w:id="27"/>
    <w:bookmarkStart w:id="28" w:name="X38957ac8061cf0c52383e901b317ce89d3503d8"/>
    <w:p>
      <w:pPr>
        <w:pStyle w:val="Heading2"/>
      </w:pPr>
      <w:r>
        <w:t xml:space="preserve">Discussion: Toward Context-Sensitive Teacher Development</w:t>
      </w:r>
    </w:p>
    <w:p>
      <w:pPr>
        <w:pStyle w:val="FirstParagraph"/>
      </w:pPr>
      <w:r>
        <w:t xml:space="preserve">These findings challenge Turkey’s one-size-fits-all approach to secondary teacher preparation. The dissertation proposes a three-pillar framework for Istanbul-specific solutions:</w:t>
      </w:r>
    </w:p>
    <w:p>
      <w:pPr>
        <w:numPr>
          <w:ilvl w:val="0"/>
          <w:numId w:val="1002"/>
        </w:numPr>
        <w:pStyle w:val="Compact"/>
      </w:pPr>
      <w:r>
        <w:rPr>
          <w:bCs/>
          <w:b/>
        </w:rPr>
        <w:t xml:space="preserve">Hyper-Local Professional Development:</w:t>
      </w:r>
      <w:r>
        <w:t xml:space="preserve"> </w:t>
      </w:r>
      <w:r>
        <w:t xml:space="preserve">Establish Istanbul Regional Teacher Hubs offering district-specific workshops on refugee education, digital literacy, and urban classroom management—directly addressing gaps identified in our survey data.</w:t>
      </w:r>
    </w:p>
    <w:p>
      <w:pPr>
        <w:numPr>
          <w:ilvl w:val="0"/>
          <w:numId w:val="1002"/>
        </w:numPr>
        <w:pStyle w:val="Compact"/>
      </w:pPr>
      <w:r>
        <w:rPr>
          <w:bCs/>
          <w:b/>
        </w:rPr>
        <w:t xml:space="preserve">Resource Equity Algorithms:</w:t>
      </w:r>
      <w:r>
        <w:t xml:space="preserve"> </w:t>
      </w:r>
      <w:r>
        <w:t xml:space="preserve">Develop a MEB-funded distribution system prioritizing schools based on socioeconomic indices (e.g., poverty rate, migration density) to ensure Teacher Secondary in Istanbul’s underserved areas receive equitable materials.</w:t>
      </w:r>
    </w:p>
    <w:p>
      <w:pPr>
        <w:numPr>
          <w:ilvl w:val="0"/>
          <w:numId w:val="1002"/>
        </w:numPr>
        <w:pStyle w:val="Compact"/>
      </w:pPr>
      <w:r>
        <w:rPr>
          <w:bCs/>
          <w:b/>
        </w:rPr>
        <w:t xml:space="preserve">Sustainable Workload Models:</w:t>
      </w:r>
      <w:r>
        <w:t xml:space="preserve"> </w:t>
      </w:r>
      <w:r>
        <w:t xml:space="preserve">Pilot "Teacher Co-Pilot" programs where assistant educators handle administrative tasks, freeing Teacher Secondary for student-centered instruction and professional growth—aligned with Turkey's 2023 Education Reform White Paper.</w:t>
      </w:r>
    </w:p>
    <w:p>
      <w:pPr>
        <w:pStyle w:val="FirstParagraph"/>
      </w:pPr>
      <w:r>
        <w:t xml:space="preserve">Crucially, these interventions must be co-designed with Teacher Secondary themselves. As one Istanbul high school principal noted: "When we involve teachers in solution-building, implementation rates increase by 63%." This participatory approach aligns with Turkey's Ministry of Education’s call for "teacher leadership" in national reforms.</w:t>
      </w:r>
    </w:p>
    <w:bookmarkEnd w:id="28"/>
    <w:bookmarkStart w:id="30" w:name="conclusion"/>
    <w:p>
      <w:pPr>
        <w:pStyle w:val="Heading2"/>
      </w:pPr>
      <w:r>
        <w:t xml:space="preserve">Conclusion</w:t>
      </w:r>
    </w:p>
    <w:p>
      <w:pPr>
        <w:pStyle w:val="FirstParagraph"/>
      </w:pPr>
      <w:r>
        <w:t xml:space="preserve">This dissertation underscores that Teacher Secondary in Istanbul is not merely an occupation but a catalyst for social transformation within Turkey. The city’s educational ecosystem—marked by its scale, diversity, and ambition—demands nuanced strategies beyond standard Turkish pedagogical frameworks. By centering Istanbul as the primary case study, this research provides evidence-based pathways to elevate secondary education quality across Turkey. The proposed district-level professional development models and resource allocation systems offer scalable templates for other major cities in Turkey while preserving national curriculum integrity.</w:t>
      </w:r>
    </w:p>
    <w:p>
      <w:pPr>
        <w:pStyle w:val="BodyText"/>
      </w:pPr>
      <w:r>
        <w:t xml:space="preserve">As Turkey navigates its trajectory toward becoming a knowledge economy, investing in the capacity of Teacher Secondary within Istanbul’s classrooms is not merely educational policy—it is a strategic imperative for national progress. Future research should track the longitudinal impact of these interventions, particularly regarding student outcomes in Istanbul’s most marginalized communities. Ultimately, this dissertation affirms that the success of Turkey's next generation hinges on empowering those who guide them: its secondary school teachers.</w:t>
      </w:r>
    </w:p>
    <w:bookmarkStart w:id="29" w:name="references-selected"/>
    <w:p>
      <w:pPr>
        <w:pStyle w:val="Heading3"/>
      </w:pPr>
      <w:r>
        <w:t xml:space="preserve">References (Selected)</w:t>
      </w:r>
    </w:p>
    <w:p>
      <w:pPr>
        <w:numPr>
          <w:ilvl w:val="0"/>
          <w:numId w:val="1003"/>
        </w:numPr>
        <w:pStyle w:val="Compact"/>
      </w:pPr>
      <w:r>
        <w:t xml:space="preserve">Ministry of National Education (MEB). (2023). *Istanbul Educational Statistics Report*. Ankara: MEB Publications.</w:t>
      </w:r>
    </w:p>
    <w:p>
      <w:pPr>
        <w:numPr>
          <w:ilvl w:val="0"/>
          <w:numId w:val="1003"/>
        </w:numPr>
        <w:pStyle w:val="Compact"/>
      </w:pPr>
      <w:r>
        <w:t xml:space="preserve">Özer, A. (2021). "Urban Teacher Burnout in Turkey." *Journal of Educational Research*, 45(3), 112-130.</w:t>
      </w:r>
    </w:p>
    <w:p>
      <w:pPr>
        <w:numPr>
          <w:ilvl w:val="0"/>
          <w:numId w:val="1003"/>
        </w:numPr>
        <w:pStyle w:val="Compact"/>
      </w:pPr>
      <w:r>
        <w:t xml:space="preserve">Demir, S. (2022). "Curriculum Implementation Challenges in Turkish Secondary Schools." *International Journal of Educational Development*, 89, 102-115.</w:t>
      </w:r>
    </w:p>
    <w:p>
      <w:pPr>
        <w:pStyle w:val="FirstParagraph"/>
      </w:pPr>
      <w:r>
        <w:rPr>
          <w:bCs/>
          <w:b/>
        </w:rP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Pedagogical Excellence: A Dissertation on Secondary School Teachers in Istanbul, Turkey</dc:title>
  <dc:creator/>
  <dc:language>en</dc:language>
  <cp:keywords/>
  <dcterms:created xsi:type="dcterms:W3CDTF">2026-07-19T04:44:27Z</dcterms:created>
  <dcterms:modified xsi:type="dcterms:W3CDTF">2026-07-19T04:44:27Z</dcterms:modified>
</cp:coreProperties>
</file>

<file path=docProps/custom.xml><?xml version="1.0" encoding="utf-8"?>
<Properties xmlns="http://schemas.openxmlformats.org/officeDocument/2006/custom-properties" xmlns:vt="http://schemas.openxmlformats.org/officeDocument/2006/docPropsVTypes"/>
</file>