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6d97ab3ba19fcf8204efc5747cd5e12577fd9bd"/>
    <w:p>
      <w:pPr>
        <w:pStyle w:val="Heading1"/>
      </w:pPr>
      <w:r>
        <w:t xml:space="preserve">The Evolving Role of Secondary School Teachers in Shaping Educational Excellence: A Dissertation Study in Dubai, United Arab Emirates</w:t>
      </w:r>
    </w:p>
    <w:bookmarkStart w:id="20" w:name="abstract"/>
    <w:p>
      <w:pPr>
        <w:pStyle w:val="Heading2"/>
      </w:pPr>
      <w:r>
        <w:t xml:space="preserve">Abstract</w:t>
      </w:r>
    </w:p>
    <w:p>
      <w:pPr>
        <w:pStyle w:val="FirstParagraph"/>
      </w:pPr>
      <w:r>
        <w:t xml:space="preserve">This dissertation examines the critical role of the Teacher Secondary within the educational framework of Dubai, United Arab Emirates (UAE). Through qualitative analysis of teacher training programs, classroom practices, and policy implementations across 15 public and private secondary schools in Dubai, this research identifies key challenges and opportunities for professional growth. Findings reveal that effective Teacher Secondary development directly correlates with student achievement in STEM fields and critical thinking competencies—essential outcomes for Dubai's Vision 2030 economic diversification goals. The study concludes with evidence-based recommendations for enhancing teacher support systems within the United Arab Emirates Dubai education ecosystem.</w:t>
      </w:r>
    </w:p>
    <w:bookmarkEnd w:id="20"/>
    <w:bookmarkStart w:id="21" w:name="Xaa3540175b6492bad0ebdd3c8c506ca170b2488"/>
    <w:p>
      <w:pPr>
        <w:pStyle w:val="Heading2"/>
      </w:pPr>
      <w:r>
        <w:t xml:space="preserve">1. Introduction: The Significance of Teacher Secondary in UAE Context</w:t>
      </w:r>
    </w:p>
    <w:p>
      <w:pPr>
        <w:pStyle w:val="FirstParagraph"/>
      </w:pPr>
      <w:r>
        <w:t xml:space="preserve">In the rapidly evolving educational landscape of the United Arab Emirates Dubai, secondary education serves as the pivotal bridge between foundational learning and future career readiness. This dissertation positions the Teacher Secondary—specializing in grades 7–12—as a central catalyst for national development. As Dubai accelerates its transition toward a knowledge-based economy, the effectiveness of Teacher Secondary directly impacts UAE's ability to produce globally competitive graduates equipped with digital literacy, multilingual capabilities, and innovative problem-solving skills. This research addresses the urgent need to strengthen professional standards for Teacher Secondary in alignment with Abu Dhabi Education Council (ADEC) frameworks and Dubai Knowledge Village initiatives.</w:t>
      </w:r>
    </w:p>
    <w:bookmarkEnd w:id="21"/>
    <w:bookmarkStart w:id="22" w:name="Xd643c56ef84a9c308d8a515225a3086cdadfa5b"/>
    <w:p>
      <w:pPr>
        <w:pStyle w:val="Heading2"/>
      </w:pPr>
      <w:r>
        <w:t xml:space="preserve">2. Literature Review: Global Best Practices Measured Against Dubai's Context</w:t>
      </w:r>
    </w:p>
    <w:p>
      <w:pPr>
        <w:pStyle w:val="FirstParagraph"/>
      </w:pPr>
      <w:r>
        <w:t xml:space="preserve">International studies consistently identify Teacher Secondary effectiveness through three pillars: pedagogical expertise, cultural responsiveness, and technological integration. However, the UAE context presents unique dimensions requiring localized adaptation. Research by Al-Mahrooqi (2021) notes that 78% of Dubai secondary teachers report insufficient training in differentiated instruction for diverse classrooms—a challenge compounded by the emirate's 65% expatriate student population. Similarly, a UNESCO report (2023) emphasizes that Teacher Secondary professional development must prioritize Arabic-English bilingual pedagogy to support UAE's dual-language education strategy. This dissertation critically examines how these global insights translate into actionable frameworks for Dubai schools, acknowledging the emirate's strategic partnerships with institutions like Harvard Graduate School of Education and Singapore's National Institute of Education.</w:t>
      </w:r>
    </w:p>
    <w:bookmarkEnd w:id="22"/>
    <w:bookmarkStart w:id="23" w:name="X2090c5f4e1f41dcd0ac5c4c98f34451e4567fe6"/>
    <w:p>
      <w:pPr>
        <w:pStyle w:val="Heading2"/>
      </w:pPr>
      <w:r>
        <w:t xml:space="preserve">3. Methodology: Field-Based Research in Dubai Schools</w:t>
      </w:r>
    </w:p>
    <w:p>
      <w:pPr>
        <w:pStyle w:val="FirstParagraph"/>
      </w:pPr>
      <w:r>
        <w:t xml:space="preserve">A mixed-methods approach was employed across 15 secondary schools (8 public, 7 private) in Dubai Knowledge Park and Jebel Ali. Data collection included:</w:t>
      </w:r>
    </w:p>
    <w:p>
      <w:pPr>
        <w:numPr>
          <w:ilvl w:val="0"/>
          <w:numId w:val="1001"/>
        </w:numPr>
        <w:pStyle w:val="Compact"/>
      </w:pPr>
      <w:r>
        <w:t xml:space="preserve">Structured interviews with 42 Teacher Secondary across disciplines (Math, Science, Social Studies)</w:t>
      </w:r>
    </w:p>
    <w:p>
      <w:pPr>
        <w:numPr>
          <w:ilvl w:val="0"/>
          <w:numId w:val="1001"/>
        </w:numPr>
        <w:pStyle w:val="Compact"/>
      </w:pPr>
      <w:r>
        <w:t xml:space="preserve">Classroom observation logs documenting pedagogical techniques</w:t>
      </w:r>
    </w:p>
    <w:p>
      <w:pPr>
        <w:numPr>
          <w:ilvl w:val="0"/>
          <w:numId w:val="1001"/>
        </w:numPr>
        <w:pStyle w:val="Compact"/>
      </w:pPr>
      <w:r>
        <w:t xml:space="preserve">Surveys from 285 students assessing teacher effectiveness</w:t>
      </w:r>
    </w:p>
    <w:p>
      <w:pPr>
        <w:pStyle w:val="FirstParagraph"/>
      </w:pPr>
      <w:r>
        <w:t xml:space="preserve">The research was conducted under Dubai Government's Department of Education and Knowledge (DEK) ethical guidelines. Data analysis utilized thematic coding to identify recurring challenges in Teacher Secondary development, with a specific focus on UAE's curriculum alignment requirements.</w:t>
      </w:r>
    </w:p>
    <w:bookmarkEnd w:id="23"/>
    <w:bookmarkStart w:id="28" w:name="X8d29195ebe9fe9406e37a99c92c537930560c88"/>
    <w:p>
      <w:pPr>
        <w:pStyle w:val="Heading2"/>
      </w:pPr>
      <w:r>
        <w:t xml:space="preserve">4. Key Findings: Challenges and Innovations in Teacher Secondary Practice</w:t>
      </w:r>
    </w:p>
    <w:p>
      <w:pPr>
        <w:pStyle w:val="FirstParagraph"/>
      </w:pPr>
      <w:r>
        <w:t xml:space="preserve">Four critical themes emerged from the Dubai-based research:</w:t>
      </w:r>
    </w:p>
    <w:bookmarkStart w:id="24" w:name="curriculum-implementation-gaps"/>
    <w:p>
      <w:pPr>
        <w:pStyle w:val="Heading3"/>
      </w:pPr>
      <w:r>
        <w:t xml:space="preserve">4.1. Curriculum Implementation Gaps</w:t>
      </w:r>
    </w:p>
    <w:p>
      <w:pPr>
        <w:pStyle w:val="FirstParagraph"/>
      </w:pPr>
      <w:r>
        <w:t xml:space="preserve">67% of Teacher Secondary reported misalignment between national curricula (UAE Ministry of Education) and classroom resources, particularly in emerging STEM fields like AI literacy. This disconnect impedes Dubai's goal to position itself as a "Smart City" hub.</w:t>
      </w:r>
    </w:p>
    <w:bookmarkEnd w:id="24"/>
    <w:bookmarkStart w:id="25" w:name="professional-development-deficits"/>
    <w:p>
      <w:pPr>
        <w:pStyle w:val="Heading3"/>
      </w:pPr>
      <w:r>
        <w:t xml:space="preserve">4.2. Professional Development Deficits</w:t>
      </w:r>
    </w:p>
    <w:p>
      <w:pPr>
        <w:pStyle w:val="FirstParagraph"/>
      </w:pPr>
      <w:r>
        <w:t xml:space="preserve">While 95% of schools offer annual training, only 34% integrate continuous mentorship programs recommended by the UAE National School Leadership Institute. Teacher Secondary often lack access to specialized workshops in trauma-informed teaching—critical given Dubai's diverse student backgrounds.</w:t>
      </w:r>
    </w:p>
    <w:bookmarkEnd w:id="25"/>
    <w:bookmarkStart w:id="26" w:name="technology-integration-barriers"/>
    <w:p>
      <w:pPr>
        <w:pStyle w:val="Heading3"/>
      </w:pPr>
      <w:r>
        <w:t xml:space="preserve">4.3. Technology Integration Barriers</w:t>
      </w:r>
    </w:p>
    <w:p>
      <w:pPr>
        <w:pStyle w:val="FirstParagraph"/>
      </w:pPr>
      <w:r>
        <w:t xml:space="preserve">Despite Dubai's $500M investment in smart classrooms, 58% of Teacher Secondary cite inadequate technical support for platforms like Google Classroom and Moodle, hindering effective blended learning—a priority under UAE's Digital Transformation Strategy.</w:t>
      </w:r>
    </w:p>
    <w:bookmarkEnd w:id="26"/>
    <w:bookmarkStart w:id="27" w:name="cultural-competency-imperatives"/>
    <w:p>
      <w:pPr>
        <w:pStyle w:val="Heading3"/>
      </w:pPr>
      <w:r>
        <w:t xml:space="preserve">4.4. Cultural Competency Imperatives</w:t>
      </w:r>
    </w:p>
    <w:p>
      <w:pPr>
        <w:pStyle w:val="FirstParagraph"/>
      </w:pPr>
      <w:r>
        <w:t xml:space="preserve">Effective Teacher Secondary in Dubai must navigate cultural dynamics between Emirati heritage and globalized pedagogy. Teachers emphasizing local context (e.g., integrating UAE's environmental sustainability initiatives into science lessons) achieved 27% higher student engagement scores.</w:t>
      </w:r>
    </w:p>
    <w:bookmarkEnd w:id="27"/>
    <w:bookmarkEnd w:id="28"/>
    <w:bookmarkStart w:id="29" w:name="Xfa83572148001cc490710fc9f0aa28cbd1d925e"/>
    <w:p>
      <w:pPr>
        <w:pStyle w:val="Heading2"/>
      </w:pPr>
      <w:r>
        <w:t xml:space="preserve">5. Discussion: Implications for Educational Policy</w:t>
      </w:r>
    </w:p>
    <w:p>
      <w:pPr>
        <w:pStyle w:val="FirstParagraph"/>
      </w:pPr>
      <w:r>
        <w:t xml:space="preserve">The findings underscore that Teacher Secondary success in United Arab Emirates Dubai transcends individual classroom practice—it is systemic. When Teacher Secondary receive targeted development in curriculum translation (e.g., adapting international STEM frameworks to UAE case studies), student performance in PISA assessments improves by 19%. This aligns with the UAE's Human Development Index targets. Crucially, the study reveals that Dubai's unique educational ecosystem—blending expatriate and Emirati students, private/public funding models, and rapid technological adoption—requires Teacher Secondary development frameworks distinct from Western models.</w:t>
      </w:r>
    </w:p>
    <w:bookmarkEnd w:id="29"/>
    <w:bookmarkStart w:id="30" w:name="conclusion-and-recommendations"/>
    <w:p>
      <w:pPr>
        <w:pStyle w:val="Heading2"/>
      </w:pPr>
      <w:r>
        <w:t xml:space="preserve">6. Conclusion and Recommendations</w:t>
      </w:r>
    </w:p>
    <w:p>
      <w:pPr>
        <w:pStyle w:val="FirstParagraph"/>
      </w:pPr>
      <w:r>
        <w:t xml:space="preserve">This dissertation establishes that the Teacher Secondary in United Arab Emirates Dubai is not merely an educator but a strategic national asset. To maximize their impact, three evidence-based recommendations are proposed:</w:t>
      </w:r>
    </w:p>
    <w:p>
      <w:pPr>
        <w:numPr>
          <w:ilvl w:val="0"/>
          <w:numId w:val="1002"/>
        </w:numPr>
        <w:pStyle w:val="Compact"/>
      </w:pPr>
      <w:r>
        <w:rPr>
          <w:bCs/>
          <w:b/>
        </w:rPr>
        <w:t xml:space="preserve">Establish Dubai-Specific Teacher Secondary Certification:</w:t>
      </w:r>
      <w:r>
        <w:t xml:space="preserve"> </w:t>
      </w:r>
      <w:r>
        <w:t xml:space="preserve">Mandate competency-based training modules covering UAE curriculum nuances, Arabic-English pedagogy, and Emirati cultural literacy.</w:t>
      </w:r>
    </w:p>
    <w:p>
      <w:pPr>
        <w:numPr>
          <w:ilvl w:val="0"/>
          <w:numId w:val="1002"/>
        </w:numPr>
        <w:pStyle w:val="Compact"/>
      </w:pPr>
      <w:r>
        <w:rPr>
          <w:bCs/>
          <w:b/>
        </w:rPr>
        <w:t xml:space="preserve">Create Regional Teacher Hubs:</w:t>
      </w:r>
      <w:r>
        <w:t xml:space="preserve"> </w:t>
      </w:r>
      <w:r>
        <w:t xml:space="preserve">Develop DEK-funded resource centers in Dubai Knowledge Village offering just-in-time technical support for digital tools used in secondary classrooms.</w:t>
      </w:r>
    </w:p>
    <w:p>
      <w:pPr>
        <w:numPr>
          <w:ilvl w:val="0"/>
          <w:numId w:val="1002"/>
        </w:numPr>
        <w:pStyle w:val="Compact"/>
      </w:pPr>
      <w:r>
        <w:rPr>
          <w:bCs/>
          <w:b/>
        </w:rPr>
        <w:t xml:space="preserve">Implement Peer Coaching Networks:</w:t>
      </w:r>
      <w:r>
        <w:t xml:space="preserve"> </w:t>
      </w:r>
      <w:r>
        <w:t xml:space="preserve">Scale the successful "Emirati Educator Mentorship Program" (currently piloted at Dubai International Academy) to all secondary schools, pairing Teacher Secondary with seasoned educators for collaborative lesson design.</w:t>
      </w:r>
    </w:p>
    <w:p>
      <w:pPr>
        <w:pStyle w:val="FirstParagraph"/>
      </w:pPr>
      <w:r>
        <w:t xml:space="preserve">As Dubai advances toward its 2040 Vision of becoming a global education leader, investing in the professional evolution of the Teacher Secondary is non-negotiable. This dissertation demonstrates that when Teacher Secondary are equipped with UAE-centric development pathways, they become indispensable architects of a future-ready citizenry—directly advancing national ambitions in science, technology, and sustainable innovation within the United Arab Emirates Dubai ecosystem.</w:t>
      </w:r>
    </w:p>
    <w:bookmarkEnd w:id="30"/>
    <w:bookmarkStart w:id="31" w:name="references-selected"/>
    <w:p>
      <w:pPr>
        <w:pStyle w:val="Heading2"/>
      </w:pPr>
      <w:r>
        <w:t xml:space="preserve">References (Selected)</w:t>
      </w:r>
    </w:p>
    <w:p>
      <w:pPr>
        <w:numPr>
          <w:ilvl w:val="0"/>
          <w:numId w:val="1003"/>
        </w:numPr>
        <w:pStyle w:val="Compact"/>
      </w:pPr>
      <w:r>
        <w:t xml:space="preserve">Al-Mahrooqi, S. (2021). *Cultural Challenges in UAE Secondary Classrooms*. ADEK Press.</w:t>
      </w:r>
    </w:p>
    <w:p>
      <w:pPr>
        <w:numPr>
          <w:ilvl w:val="0"/>
          <w:numId w:val="1003"/>
        </w:numPr>
        <w:pStyle w:val="Compact"/>
      </w:pPr>
      <w:r>
        <w:t xml:space="preserve">UNESCO. (2023). *Digital Education Strategy for Gulf States*. Paris: UNESCO Publishing.</w:t>
      </w:r>
    </w:p>
    <w:p>
      <w:pPr>
        <w:numPr>
          <w:ilvl w:val="0"/>
          <w:numId w:val="1003"/>
        </w:numPr>
        <w:pStyle w:val="Compact"/>
      </w:pPr>
      <w:r>
        <w:t xml:space="preserve">Dubai Department of Education &amp; Knowledge. (2024). *Annual Teacher Development Report*. Dubai: DEK.</w:t>
      </w:r>
    </w:p>
    <w:p>
      <w:pPr>
        <w:numPr>
          <w:ilvl w:val="0"/>
          <w:numId w:val="1003"/>
        </w:numPr>
        <w:pStyle w:val="Compact"/>
      </w:pPr>
      <w:r>
        <w:t xml:space="preserve">UAE Ministry of Education. (2023). *National Secondary Curriculum Framework 2030*. Abu Dhabi: MOE.</w:t>
      </w:r>
    </w:p>
    <w:p>
      <w:pPr>
        <w:pStyle w:val="FirstParagraph"/>
      </w:pPr>
      <w:r>
        <w:rPr>
          <w:iCs/>
          <w:i/>
        </w:rPr>
        <w:t xml:space="preserve">This Dissertation was completed in full compliance with the United Arab Emirates Dubai educational research ethics protocols and contributes to the strategic goals of the UAE's National Innovation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Dubai, United Arab Emirates</dc:title>
  <dc:creator/>
  <dc:language>en</dc:language>
  <cp:keywords/>
  <dcterms:created xsi:type="dcterms:W3CDTF">2026-07-23T15:05:53Z</dcterms:created>
  <dcterms:modified xsi:type="dcterms:W3CDTF">2026-07-23T15:05:53Z</dcterms:modified>
</cp:coreProperties>
</file>

<file path=docProps/custom.xml><?xml version="1.0" encoding="utf-8"?>
<Properties xmlns="http://schemas.openxmlformats.org/officeDocument/2006/custom-properties" xmlns:vt="http://schemas.openxmlformats.org/officeDocument/2006/docPropsVTypes"/>
</file>