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Tehran,</w:t>
      </w:r>
      <w:r>
        <w:t xml:space="preserve"> </w:t>
      </w:r>
      <w:r>
        <w:t xml:space="preserve">Iran</w:t>
      </w:r>
    </w:p>
    <w:bookmarkStart w:id="27" w:name="Xab9bd9b1151b3367e40eef9cb6b387d4ee45e6c"/>
    <w:p>
      <w:pPr>
        <w:pStyle w:val="Heading1"/>
      </w:pPr>
      <w:r>
        <w:t xml:space="preserve">Dissertation: The Evolving Role of the University Lecturer in Higher Education Institutions of Tehran, Iran</w:t>
      </w:r>
    </w:p>
    <w:p>
      <w:pPr>
        <w:pStyle w:val="FirstParagraph"/>
      </w:pPr>
      <w:r>
        <w:rPr>
          <w:bCs/>
          <w:b/>
        </w:rPr>
        <w:t xml:space="preserve">Abstract:</w:t>
      </w:r>
      <w:r>
        <w:t xml:space="preserve"> </w:t>
      </w:r>
      <w:r>
        <w:t xml:space="preserve">This dissertation examines the multifaceted role of the University Lecturer within the specific socio-academic context of Tehran, Iran. It investigates contemporary challenges, pedagogical practices, research expectations, and institutional pressures faced by academic staff in leading Iranian universities. Through qualitative analysis of lecturer experiences and institutional policy review, this study argues that effective academic leadership and support systems are critical for enhancing educational quality in Iran's premier academic hub.</w:t>
      </w:r>
    </w:p>
    <w:bookmarkStart w:id="20" w:name="Xa94e38ab99ac33d6694b464423de23134a1df9f"/>
    <w:p>
      <w:pPr>
        <w:pStyle w:val="Heading2"/>
      </w:pPr>
      <w:r>
        <w:t xml:space="preserve">1. Introduction: The Significance of the University Lecturer in Iran Tehran</w:t>
      </w:r>
    </w:p>
    <w:p>
      <w:pPr>
        <w:pStyle w:val="FirstParagraph"/>
      </w:pPr>
      <w:r>
        <w:t xml:space="preserve">The University Lecturer serves as the cornerstone of higher education delivery within Iranian universities, particularly those concentrated in Tehran. As the capital city hosts over 50% of Iran's tertiary institutions—including prestigious public universities like Sharif University, Tehran University, and Amirkabir University—lecturers directly shape the nation's intellectual capital. This dissertation critically engages with the unique professional identity of the Iran Tehran-based University Lecturer, navigating state educational policies, cultural expectations, and global academic standards within a context of evolving pedagogy.</w:t>
      </w:r>
    </w:p>
    <w:bookmarkEnd w:id="20"/>
    <w:bookmarkStart w:id="21" w:name="X333b709b9957eacc3e4fe95e7f453700b4e0899"/>
    <w:p>
      <w:pPr>
        <w:pStyle w:val="Heading2"/>
      </w:pPr>
      <w:r>
        <w:t xml:space="preserve">2. The Multifaceted Responsibilities of the University Lecturer</w:t>
      </w:r>
    </w:p>
    <w:p>
      <w:pPr>
        <w:pStyle w:val="FirstParagraph"/>
      </w:pPr>
      <w:r>
        <w:t xml:space="preserve">In Iran's higher education system, the University Lecturer operates beyond traditional teaching. Key responsibilities include:</w:t>
      </w:r>
    </w:p>
    <w:p>
      <w:pPr>
        <w:numPr>
          <w:ilvl w:val="0"/>
          <w:numId w:val="1001"/>
        </w:numPr>
        <w:pStyle w:val="Compact"/>
      </w:pPr>
      <w:r>
        <w:rPr>
          <w:bCs/>
          <w:b/>
        </w:rPr>
        <w:t xml:space="preserve">Teaching Excellence:</w:t>
      </w:r>
      <w:r>
        <w:t xml:space="preserve"> </w:t>
      </w:r>
      <w:r>
        <w:t xml:space="preserve">Delivering curriculum aligned with Ministry of Science guidelines while adapting to diverse student needs within Tehran's urban academic environment.</w:t>
      </w:r>
    </w:p>
    <w:p>
      <w:pPr>
        <w:numPr>
          <w:ilvl w:val="0"/>
          <w:numId w:val="1001"/>
        </w:numPr>
        <w:pStyle w:val="Compact"/>
      </w:pPr>
      <w:r>
        <w:rPr>
          <w:bCs/>
          <w:b/>
        </w:rPr>
        <w:t xml:space="preserve">Research Contribution:</w:t>
      </w:r>
      <w:r>
        <w:t xml:space="preserve"> </w:t>
      </w:r>
      <w:r>
        <w:t xml:space="preserve">Generating scholarly output under national funding constraints, often balancing teaching loads (typically 12-16 hours weekly) with research expectations.</w:t>
      </w:r>
    </w:p>
    <w:p>
      <w:pPr>
        <w:numPr>
          <w:ilvl w:val="0"/>
          <w:numId w:val="1001"/>
        </w:numPr>
        <w:pStyle w:val="Compact"/>
      </w:pPr>
      <w:r>
        <w:rPr>
          <w:bCs/>
          <w:b/>
        </w:rPr>
        <w:t xml:space="preserve">Cultural Mediation:</w:t>
      </w:r>
      <w:r>
        <w:t xml:space="preserve"> </w:t>
      </w:r>
      <w:r>
        <w:t xml:space="preserve">Navigating the intersection of Iranian cultural values and international academic norms in classroom settings.</w:t>
      </w:r>
    </w:p>
    <w:p>
      <w:pPr>
        <w:numPr>
          <w:ilvl w:val="0"/>
          <w:numId w:val="1001"/>
        </w:numPr>
        <w:pStyle w:val="Compact"/>
      </w:pPr>
      <w:r>
        <w:rPr>
          <w:bCs/>
          <w:b/>
        </w:rPr>
        <w:t xml:space="preserve">Administrative Engagement:</w:t>
      </w:r>
      <w:r>
        <w:t xml:space="preserve"> </w:t>
      </w:r>
      <w:r>
        <w:t xml:space="preserve">Participating in departmental committees, student advising, and curriculum development at Tehran-based institutions.</w:t>
      </w:r>
    </w:p>
    <w:bookmarkEnd w:id="21"/>
    <w:bookmarkStart w:id="22" w:name="Xeda465bb5e4df02f61d55f3ac2d588de316598a"/>
    <w:p>
      <w:pPr>
        <w:pStyle w:val="Heading2"/>
      </w:pPr>
      <w:r>
        <w:t xml:space="preserve">3. Challenges Specific to University Lecturers in Tehran</w:t>
      </w:r>
    </w:p>
    <w:p>
      <w:pPr>
        <w:pStyle w:val="FirstParagraph"/>
      </w:pPr>
      <w:r>
        <w:t xml:space="preserve">The Iranian academic landscape presents distinct challenges for lecturers operating from Tehran:</w:t>
      </w:r>
    </w:p>
    <w:p>
      <w:pPr>
        <w:numPr>
          <w:ilvl w:val="0"/>
          <w:numId w:val="1002"/>
        </w:numPr>
        <w:pStyle w:val="Compact"/>
      </w:pPr>
      <w:r>
        <w:rPr>
          <w:bCs/>
          <w:b/>
        </w:rPr>
        <w:t xml:space="preserve">Resource Constraints:</w:t>
      </w:r>
      <w:r>
        <w:t xml:space="preserve"> </w:t>
      </w:r>
      <w:r>
        <w:t xml:space="preserve">Persistent shortages of updated textbooks, laboratory equipment, and digital learning tools at many Tehran universities despite their urban prominence.</w:t>
      </w:r>
    </w:p>
    <w:p>
      <w:pPr>
        <w:numPr>
          <w:ilvl w:val="0"/>
          <w:numId w:val="1002"/>
        </w:numPr>
        <w:pStyle w:val="Compact"/>
      </w:pPr>
      <w:r>
        <w:rPr>
          <w:bCs/>
          <w:b/>
        </w:rPr>
        <w:t xml:space="preserve">Policy-Driven Pressures:</w:t>
      </w:r>
      <w:r>
        <w:t xml:space="preserve"> </w:t>
      </w:r>
      <w:r>
        <w:t xml:space="preserve">Frequent shifts in national education directives (e.g., curriculum revisions under the Ministry of Science) requiring constant adaptation without adequate institutional support.</w:t>
      </w:r>
    </w:p>
    <w:p>
      <w:pPr>
        <w:numPr>
          <w:ilvl w:val="0"/>
          <w:numId w:val="1002"/>
        </w:numPr>
        <w:pStyle w:val="Compact"/>
      </w:pPr>
      <w:r>
        <w:rPr>
          <w:bCs/>
          <w:b/>
        </w:rPr>
        <w:t xml:space="preserve">Student Demographics:</w:t>
      </w:r>
      <w:r>
        <w:t xml:space="preserve"> </w:t>
      </w:r>
      <w:r>
        <w:t xml:space="preserve">Managing large lecture halls (often exceeding 100 students) common in Tehran's overcrowded universities, limiting personalized interaction.</w:t>
      </w:r>
    </w:p>
    <w:p>
      <w:pPr>
        <w:numPr>
          <w:ilvl w:val="0"/>
          <w:numId w:val="1002"/>
        </w:numPr>
        <w:pStyle w:val="Compact"/>
      </w:pPr>
      <w:r>
        <w:rPr>
          <w:bCs/>
          <w:b/>
        </w:rPr>
        <w:t xml:space="preserve">Research Isolation:</w:t>
      </w:r>
      <w:r>
        <w:t xml:space="preserve"> </w:t>
      </w:r>
      <w:r>
        <w:t xml:space="preserve">Limited international collaboration opportunities due to sanctions, hindering access to global scholarly networks critical for academic growth.</w:t>
      </w:r>
    </w:p>
    <w:bookmarkEnd w:id="22"/>
    <w:bookmarkStart w:id="23" w:name="X1c2939fa6ea96ac1ecfd1ae76e6161823cea703"/>
    <w:p>
      <w:pPr>
        <w:pStyle w:val="Heading2"/>
      </w:pPr>
      <w:r>
        <w:t xml:space="preserve">4. Institutional Context: Tehran as Academic Epicenter</w:t>
      </w:r>
    </w:p>
    <w:p>
      <w:pPr>
        <w:pStyle w:val="FirstParagraph"/>
      </w:pPr>
      <w:r>
        <w:t xml:space="preserve">Tehran's unique position as Iran's education capital creates a dual-edged environment for University Lecturers. While proximity to government bodies and research centers offers strategic advantages, it also intensifies competition for resources and faculty positions. This dissertation analyzes how Tehran universities' hierarchical structures often prioritize administrative roles over teaching excellence, potentially marginalizing the lecturer's pedagogical contributions in favor of research metrics aligned with national development goals.</w:t>
      </w:r>
    </w:p>
    <w:bookmarkEnd w:id="23"/>
    <w:bookmarkStart w:id="24" w:name="Xa2282573885bb40ec03613bb76cf4f950db2625"/>
    <w:p>
      <w:pPr>
        <w:pStyle w:val="Heading2"/>
      </w:pPr>
      <w:r>
        <w:t xml:space="preserve">5. Pedagogical Innovations Among Tehran Lecturers</w:t>
      </w:r>
    </w:p>
    <w:p>
      <w:pPr>
        <w:pStyle w:val="FirstParagraph"/>
      </w:pPr>
      <w:r>
        <w:t xml:space="preserve">Despite constraints, this study identifies emergent strategies by University Lecturers in Tehran:</w:t>
      </w:r>
    </w:p>
    <w:p>
      <w:pPr>
        <w:numPr>
          <w:ilvl w:val="0"/>
          <w:numId w:val="1003"/>
        </w:numPr>
        <w:pStyle w:val="Compact"/>
      </w:pPr>
      <w:r>
        <w:rPr>
          <w:bCs/>
          <w:b/>
        </w:rPr>
        <w:t xml:space="preserve">Hybrid Learning Models:</w:t>
      </w:r>
      <w:r>
        <w:t xml:space="preserve"> </w:t>
      </w:r>
      <w:r>
        <w:t xml:space="preserve">Developing low-bandwidth digital resources to supplement classroom teaching during internet restrictions.</w:t>
      </w:r>
    </w:p>
    <w:p>
      <w:pPr>
        <w:numPr>
          <w:ilvl w:val="0"/>
          <w:numId w:val="1003"/>
        </w:numPr>
        <w:pStyle w:val="Compact"/>
      </w:pPr>
      <w:r>
        <w:rPr>
          <w:bCs/>
          <w:b/>
        </w:rPr>
        <w:t xml:space="preserve">Culturally Responsive Teaching:</w:t>
      </w:r>
      <w:r>
        <w:t xml:space="preserve"> </w:t>
      </w:r>
      <w:r>
        <w:t xml:space="preserve">Integrating local case studies (e.g., Iranian engineering projects, Persian literature) to enhance student engagement.</w:t>
      </w:r>
    </w:p>
    <w:p>
      <w:pPr>
        <w:numPr>
          <w:ilvl w:val="0"/>
          <w:numId w:val="1003"/>
        </w:numPr>
        <w:pStyle w:val="Compact"/>
      </w:pPr>
      <w:r>
        <w:rPr>
          <w:bCs/>
          <w:b/>
        </w:rPr>
        <w:t xml:space="preserve">Peer-Led Learning Circles:</w:t>
      </w:r>
      <w:r>
        <w:t xml:space="preserve"> </w:t>
      </w:r>
      <w:r>
        <w:t xml:space="preserve">Establishing student discussion groups to compensate for large class sizes and resource limitations.</w:t>
      </w:r>
    </w:p>
    <w:bookmarkEnd w:id="24"/>
    <w:bookmarkStart w:id="25" w:name="X90b3662cb0e708593087725e5524e401cde5ea2"/>
    <w:p>
      <w:pPr>
        <w:pStyle w:val="Heading2"/>
      </w:pPr>
      <w:r>
        <w:t xml:space="preserve">6. Recommendations for Enhancing the University Lecturer's Impact</w:t>
      </w:r>
    </w:p>
    <w:p>
      <w:pPr>
        <w:pStyle w:val="FirstParagraph"/>
      </w:pPr>
      <w:r>
        <w:t xml:space="preserve">This dissertation proposes context-specific solutions for Iran Tehran's academic ecosystem:</w:t>
      </w:r>
    </w:p>
    <w:p>
      <w:pPr>
        <w:numPr>
          <w:ilvl w:val="0"/>
          <w:numId w:val="1004"/>
        </w:numPr>
        <w:pStyle w:val="Compact"/>
      </w:pPr>
      <w:r>
        <w:rPr>
          <w:bCs/>
          <w:b/>
        </w:rPr>
        <w:t xml:space="preserve">Targeted Professional Development:</w:t>
      </w:r>
      <w:r>
        <w:t xml:space="preserve"> </w:t>
      </w:r>
      <w:r>
        <w:t xml:space="preserve">Creating Tehran-based workshops focused on digital pedagogy and culturally adaptive teaching methods.</w:t>
      </w:r>
    </w:p>
    <w:p>
      <w:pPr>
        <w:numPr>
          <w:ilvl w:val="0"/>
          <w:numId w:val="1004"/>
        </w:numPr>
        <w:pStyle w:val="Compact"/>
      </w:pPr>
      <w:r>
        <w:rPr>
          <w:bCs/>
          <w:b/>
        </w:rPr>
        <w:t xml:space="preserve">Institutional Research Support:</w:t>
      </w:r>
      <w:r>
        <w:t xml:space="preserve"> </w:t>
      </w:r>
      <w:r>
        <w:t xml:space="preserve">Establishing university-level research grants specifically for lecturers to mitigate sanction-related isolation.</w:t>
      </w:r>
    </w:p>
    <w:p>
      <w:pPr>
        <w:numPr>
          <w:ilvl w:val="0"/>
          <w:numId w:val="1004"/>
        </w:numPr>
        <w:pStyle w:val="Compact"/>
      </w:pPr>
      <w:r>
        <w:rPr>
          <w:bCs/>
          <w:b/>
        </w:rPr>
        <w:t xml:space="preserve">Pedagogical Recognition Systems:</w:t>
      </w:r>
      <w:r>
        <w:t xml:space="preserve"> </w:t>
      </w:r>
      <w:r>
        <w:t xml:space="preserve">Developing evaluation criteria that value teaching innovation alongside research output in promotion decisions at Tehran universities.</w:t>
      </w:r>
    </w:p>
    <w:bookmarkEnd w:id="25"/>
    <w:bookmarkStart w:id="26" w:name="X733c42f81a585e7f3927fc54ffa6e41d29b2663"/>
    <w:p>
      <w:pPr>
        <w:pStyle w:val="Heading2"/>
      </w:pPr>
      <w:r>
        <w:t xml:space="preserve">7. Conclusion: The University Lecturer as Catalyst for Educational Transformation</w:t>
      </w:r>
    </w:p>
    <w:p>
      <w:pPr>
        <w:pStyle w:val="FirstParagraph"/>
      </w:pPr>
      <w:r>
        <w:t xml:space="preserve">The role of the University Lecturer within Iran's higher education system, especially in Tehran, is pivotal to national development. This dissertation demonstrates that sustained investment in lecturer well-being and professional capacity—not merely infrastructure—is essential for Iran to achieve its educational ambitions. As Tehran continues to serve as Iran's academic nucleus, empowering its University Lecturers through policy reform and institutional support will directly influence the quality of graduates shaping the nation's future. The path forward requires recognizing that excellence in teaching is not secondary to research but an interdependent pillar of academic success in Iran Tehran.</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Tehran, Iran</dc:title>
  <dc:creator/>
  <dc:language>en</dc:language>
  <cp:keywords/>
  <dcterms:created xsi:type="dcterms:W3CDTF">2026-07-15T03:57:02Z</dcterms:created>
  <dcterms:modified xsi:type="dcterms:W3CDTF">2026-07-15T03:57:02Z</dcterms:modified>
</cp:coreProperties>
</file>

<file path=docProps/custom.xml><?xml version="1.0" encoding="utf-8"?>
<Properties xmlns="http://schemas.openxmlformats.org/officeDocument/2006/custom-properties" xmlns:vt="http://schemas.openxmlformats.org/officeDocument/2006/docPropsVTypes"/>
</file>