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Colombia</w:t>
      </w:r>
      <w:r>
        <w:t xml:space="preserve"> </w:t>
      </w:r>
      <w:r>
        <w:t xml:space="preserve">Bogotá</w:t>
      </w:r>
    </w:p>
    <w:bookmarkStart w:id="27" w:name="X933a5952ff6b927a58663d9f2965c141acb5148"/>
    <w:p>
      <w:pPr>
        <w:pStyle w:val="Heading1"/>
      </w:pPr>
      <w:r>
        <w:t xml:space="preserve">Dissertation: The Strategic Imperative of the UX UI Designer in Colombia Bogotá's Digital Transformation</w:t>
      </w:r>
    </w:p>
    <w:p>
      <w:pPr>
        <w:pStyle w:val="FirstParagraph"/>
      </w:pPr>
      <w:r>
        <w:t xml:space="preserve">As Colombia accelerates its digital economy, Bogotá emerges as the nation's epicenter of innovation, where the role of the</w:t>
      </w:r>
      <w:r>
        <w:t xml:space="preserve"> </w:t>
      </w:r>
      <w:r>
        <w:rPr>
          <w:iCs/>
          <w:i/>
        </w:rPr>
        <w:t xml:space="preserve">UX UI Designer</w:t>
      </w:r>
      <w:r>
        <w:t xml:space="preserve"> </w:t>
      </w:r>
      <w:r>
        <w:t xml:space="preserve">has transcended technical execution to become a strategic business imperative. This dissertation examines how</w:t>
      </w:r>
      <w:r>
        <w:t xml:space="preserve"> </w:t>
      </w:r>
      <w:r>
        <w:rPr>
          <w:bCs/>
          <w:b/>
        </w:rPr>
        <w:t xml:space="preserve">Colombia Bogotá</w:t>
      </w:r>
      <w:r>
        <w:t xml:space="preserve">'s unique socio-economic landscape shapes the practice, demand, and professional evolution of UX/UI designers in 2023. With Bogotá's digital market projected to grow at 17% annually (Cámara de Comercio de Bogotá, 2023), understanding this profession's contextual adaptation is critical for sustainable business growth across the region.</w:t>
      </w:r>
    </w:p>
    <w:bookmarkStart w:id="20" w:name="Xd026ef6801bd1c6cbba8c778f78f4ce300d4d5d"/>
    <w:p>
      <w:pPr>
        <w:pStyle w:val="Heading2"/>
      </w:pPr>
      <w:r>
        <w:t xml:space="preserve">The Professional Context in Colombia Bogotá</w:t>
      </w:r>
    </w:p>
    <w:p>
      <w:pPr>
        <w:pStyle w:val="FirstParagraph"/>
      </w:pPr>
      <w:r>
        <w:t xml:space="preserve">Unlike global tech hubs where UX/UI design operates within homogeneous digital ecosystems,</w:t>
      </w:r>
      <w:r>
        <w:t xml:space="preserve"> </w:t>
      </w:r>
      <w:r>
        <w:rPr>
          <w:bCs/>
          <w:b/>
        </w:rPr>
        <w:t xml:space="preserve">Colombia Bogotá</w:t>
      </w:r>
      <w:r>
        <w:t xml:space="preserve"> </w:t>
      </w:r>
      <w:r>
        <w:t xml:space="preserve">presents a complex tapestry of challenges. Over 75% of Bogotá's population uses mobile-first internet access (Andi, 2023), yet digital literacy varies dramatically across socioeconomic strata. A</w:t>
      </w:r>
      <w:r>
        <w:t xml:space="preserve"> </w:t>
      </w:r>
      <w:r>
        <w:rPr>
          <w:iCs/>
          <w:i/>
        </w:rPr>
        <w:t xml:space="preserve">UX UI Designer</w:t>
      </w:r>
      <w:r>
        <w:t xml:space="preserve"> </w:t>
      </w:r>
      <w:r>
        <w:t xml:space="preserve">in this context must navigate: (1) Mobile-centric design constraints for low-bandwidth environments, (2) Cultural nuances of Colombia's diverse user base spanning indigenous communities to urban professionals, and (3) Regulatory frameworks like Ley de Protección de Datos Personales that demand localized compliance. This demands more than technical skills—it requires contextual intelligence.</w:t>
      </w:r>
    </w:p>
    <w:bookmarkEnd w:id="20"/>
    <w:bookmarkStart w:id="21" w:name="market-demand-and-economic-impact"/>
    <w:p>
      <w:pPr>
        <w:pStyle w:val="Heading2"/>
      </w:pPr>
      <w:r>
        <w:t xml:space="preserve">Market Demand and Economic Impact</w:t>
      </w:r>
    </w:p>
    <w:p>
      <w:pPr>
        <w:pStyle w:val="FirstParagraph"/>
      </w:pPr>
      <w:r>
        <w:t xml:space="preserve">Recent data from Colombian Ministry of Technology reveals a 300% surge in UX/UI design job postings in Bogotá since 2019, outpacing national averages by 85%. This growth isn't merely quantitative—it's qualitative. Companies like Avianca, Davivienda, and emerging fintechs such as Nubank Colombia now embed</w:t>
      </w:r>
      <w:r>
        <w:t xml:space="preserve"> </w:t>
      </w:r>
      <w:r>
        <w:rPr>
          <w:iCs/>
          <w:i/>
        </w:rPr>
        <w:t xml:space="preserve">UX UI Designer</w:t>
      </w:r>
      <w:r>
        <w:t xml:space="preserve">s within product development teams from inception. The rationale is clear: Bogotá-based startups report 40% higher user retention when UX research incorporates local behavioral patterns (e.g., payment preferences for informal economies, family-centered app navigation). A single effective</w:t>
      </w:r>
      <w:r>
        <w:t xml:space="preserve"> </w:t>
      </w:r>
      <w:r>
        <w:rPr>
          <w:iCs/>
          <w:i/>
        </w:rPr>
        <w:t xml:space="preserve">UX UI Designer</w:t>
      </w:r>
      <w:r>
        <w:t xml:space="preserve"> </w:t>
      </w:r>
      <w:r>
        <w:t xml:space="preserve">in Bogotá can directly impact a company's revenue by 18-22% through reduced churn and increased conversion rates—a metric validated by Banco de Bogotá's internal case study (2022).</w:t>
      </w:r>
    </w:p>
    <w:bookmarkEnd w:id="21"/>
    <w:bookmarkStart w:id="22" w:name="X59a01b10fc894f60325eb7403bcb97f9a1bf673"/>
    <w:p>
      <w:pPr>
        <w:pStyle w:val="Heading2"/>
      </w:pPr>
      <w:r>
        <w:t xml:space="preserve">Cultural Nuances: Beyond Universal Design Principles</w:t>
      </w:r>
    </w:p>
    <w:p>
      <w:pPr>
        <w:pStyle w:val="FirstParagraph"/>
      </w:pPr>
      <w:r>
        <w:t xml:space="preserve">The critical differentiator for a successful</w:t>
      </w:r>
      <w:r>
        <w:t xml:space="preserve"> </w:t>
      </w:r>
      <w:r>
        <w:rPr>
          <w:iCs/>
          <w:i/>
        </w:rPr>
        <w:t xml:space="preserve">UX UI Designer</w:t>
      </w:r>
      <w:r>
        <w:t xml:space="preserve"> </w:t>
      </w:r>
      <w:r>
        <w:t xml:space="preserve">in</w:t>
      </w:r>
      <w:r>
        <w:t xml:space="preserve"> </w:t>
      </w:r>
      <w:r>
        <w:rPr>
          <w:bCs/>
          <w:b/>
        </w:rPr>
        <w:t xml:space="preserve">Colombia Bogotá</w:t>
      </w:r>
      <w:r>
        <w:t xml:space="preserve"> </w:t>
      </w:r>
      <w:r>
        <w:t xml:space="preserve">is cultural fluency. Research by Universidad de los Andes (2023) demonstrates that designs ignoring local context fail 68% of the time, even with flawless technical execution. For example:</w:t>
      </w:r>
    </w:p>
    <w:p>
      <w:pPr>
        <w:numPr>
          <w:ilvl w:val="0"/>
          <w:numId w:val="1001"/>
        </w:numPr>
        <w:pStyle w:val="Compact"/>
      </w:pPr>
      <w:r>
        <w:rPr>
          <w:iCs/>
          <w:i/>
        </w:rPr>
        <w:t xml:space="preserve">Color Psychology</w:t>
      </w:r>
      <w:r>
        <w:t xml:space="preserve">: In Bogotá's conservative financial sector, red implies risk (unlike global trends where it signifies urgency). Successful banking apps use deep blue and gold.</w:t>
      </w:r>
    </w:p>
    <w:p>
      <w:pPr>
        <w:numPr>
          <w:ilvl w:val="0"/>
          <w:numId w:val="1001"/>
        </w:numPr>
        <w:pStyle w:val="Compact"/>
      </w:pPr>
      <w:r>
        <w:rPr>
          <w:iCs/>
          <w:i/>
        </w:rPr>
        <w:t xml:space="preserve">Navigation Patterns</w:t>
      </w:r>
      <w:r>
        <w:t xml:space="preserve">: Users in Bogotá's peripheral neighborhoods prefer "familiar path" interfaces with clear breadcrumbs—reflecting the city's complex street layout and public transport reliance.</w:t>
      </w:r>
    </w:p>
    <w:p>
      <w:pPr>
        <w:numPr>
          <w:ilvl w:val="0"/>
          <w:numId w:val="1001"/>
        </w:numPr>
        <w:pStyle w:val="Compact"/>
      </w:pPr>
      <w:r>
        <w:rPr>
          <w:iCs/>
          <w:i/>
        </w:rPr>
        <w:t xml:space="preserve">Language Nuances</w:t>
      </w:r>
      <w:r>
        <w:t xml:space="preserve">: Colombian Spanish requires localized copy (e.g., "cuenta corriente" vs. "checking account"), while Bogotá's urban youth favor playful micro-interactions absent in formal business apps.</w:t>
      </w:r>
    </w:p>
    <w:bookmarkEnd w:id="22"/>
    <w:bookmarkStart w:id="23" w:name="educational-evolution-and-skill-gaps"/>
    <w:p>
      <w:pPr>
        <w:pStyle w:val="Heading2"/>
      </w:pPr>
      <w:r>
        <w:t xml:space="preserve">Educational Evolution and Skill Gaps</w:t>
      </w:r>
    </w:p>
    <w:p>
      <w:pPr>
        <w:pStyle w:val="FirstParagraph"/>
      </w:pPr>
      <w:r>
        <w:t xml:space="preserve">Colombia's design education lags in specialized UX/UI training, with only 15% of Bogotá universities offering dedicated programs (Ministry of Education, 2023). Most professionals emerge from general graphic design or computer science backgrounds—creating a critical skills gap. The most effective</w:t>
      </w:r>
      <w:r>
        <w:t xml:space="preserve"> </w:t>
      </w:r>
      <w:r>
        <w:rPr>
          <w:iCs/>
          <w:i/>
        </w:rPr>
        <w:t xml:space="preserve">UX UI Designer</w:t>
      </w:r>
      <w:r>
        <w:t xml:space="preserve">s in</w:t>
      </w:r>
      <w:r>
        <w:t xml:space="preserve"> </w:t>
      </w:r>
      <w:r>
        <w:rPr>
          <w:bCs/>
          <w:b/>
        </w:rPr>
        <w:t xml:space="preserve">Colombia Bogotá</w:t>
      </w:r>
      <w:r>
        <w:t xml:space="preserve"> </w:t>
      </w:r>
      <w:r>
        <w:t xml:space="preserve">now combine:</w:t>
      </w:r>
    </w:p>
    <w:p>
      <w:pPr>
        <w:numPr>
          <w:ilvl w:val="0"/>
          <w:numId w:val="1002"/>
        </w:numPr>
        <w:pStyle w:val="Compact"/>
      </w:pPr>
      <w:r>
        <w:rPr>
          <w:iCs/>
          <w:i/>
        </w:rPr>
        <w:t xml:space="preserve">Cultural Anthropology</w:t>
      </w:r>
      <w:r>
        <w:t xml:space="preserve">: Fieldwork in neighborhoods like Kennedy or La Candelaria to observe real-world usage.</w:t>
      </w:r>
    </w:p>
    <w:p>
      <w:pPr>
        <w:numPr>
          <w:ilvl w:val="0"/>
          <w:numId w:val="1002"/>
        </w:numPr>
        <w:pStyle w:val="Compact"/>
      </w:pPr>
      <w:r>
        <w:rPr>
          <w:iCs/>
          <w:i/>
        </w:rPr>
        <w:t xml:space="preserve">Data Literacy for Local Contexts</w:t>
      </w:r>
      <w:r>
        <w:t xml:space="preserve">: Interpreting Bogotá-specific metrics like "app abandonment during rush hour" (7–9 AM) due to transport congestion.</w:t>
      </w:r>
    </w:p>
    <w:p>
      <w:pPr>
        <w:numPr>
          <w:ilvl w:val="0"/>
          <w:numId w:val="1002"/>
        </w:numPr>
        <w:pStyle w:val="Compact"/>
      </w:pPr>
      <w:r>
        <w:rPr>
          <w:iCs/>
          <w:i/>
        </w:rPr>
        <w:t xml:space="preserve">Low-Tech Fallback Strategies</w:t>
      </w:r>
      <w:r>
        <w:t xml:space="preserve">: Designing for users who may access apps via shared phones or intermittent connectivity.</w:t>
      </w:r>
    </w:p>
    <w:bookmarkEnd w:id="23"/>
    <w:bookmarkStart w:id="24" w:name="Xe1e6b2ced24e707feea81effd3d2a577e4e508d"/>
    <w:p>
      <w:pPr>
        <w:pStyle w:val="Heading2"/>
      </w:pPr>
      <w:r>
        <w:t xml:space="preserve">CASE STUDY: CreditoPopular's Bogotá UX Transformation</w:t>
      </w:r>
    </w:p>
    <w:p>
      <w:pPr>
        <w:pStyle w:val="FirstParagraph"/>
      </w:pPr>
      <w:r>
        <w:t xml:space="preserve">This dissertation examines how CreditoPopular, a Bogotá-based fintech, revitalized its app through culturally embedded design. Facing 65% user drop-off in low-income districts, their</w:t>
      </w:r>
      <w:r>
        <w:t xml:space="preserve"> </w:t>
      </w:r>
      <w:r>
        <w:rPr>
          <w:iCs/>
          <w:i/>
        </w:rPr>
        <w:t xml:space="preserve">UX UI Designer</w:t>
      </w:r>
      <w:r>
        <w:t xml:space="preserve"> </w:t>
      </w:r>
      <w:r>
        <w:t xml:space="preserve">team conducted ethnographic research across 12 communes. They discovered that users avoided loan applications due to fear of "technical jargon" and mistrust of digital processes—a pattern absent in global case studies. The solution:</w:t>
      </w:r>
    </w:p>
    <w:p>
      <w:pPr>
        <w:numPr>
          <w:ilvl w:val="0"/>
          <w:numId w:val="1003"/>
        </w:numPr>
        <w:pStyle w:val="Compact"/>
      </w:pPr>
      <w:r>
        <w:t xml:space="preserve">Replaced all formal terms with conversational Colombian Spanish ("¿Necesitas un préstamo?" vs. "Apply for loan")</w:t>
      </w:r>
    </w:p>
    <w:p>
      <w:pPr>
        <w:numPr>
          <w:ilvl w:val="0"/>
          <w:numId w:val="1003"/>
        </w:numPr>
        <w:pStyle w:val="Compact"/>
      </w:pPr>
      <w:r>
        <w:t xml:space="preserve">Added a "Simulate" feature showing exact monthly payments using Bogotá's local purchasing power</w:t>
      </w:r>
    </w:p>
    <w:p>
      <w:pPr>
        <w:numPr>
          <w:ilvl w:val="0"/>
          <w:numId w:val="1003"/>
        </w:numPr>
        <w:pStyle w:val="Compact"/>
      </w:pPr>
      <w:r>
        <w:t xml:space="preserve">Designed a progress bar mimicking physical queue numbers (common in Colombian public services)</w:t>
      </w:r>
    </w:p>
    <w:p>
      <w:pPr>
        <w:pStyle w:val="FirstParagraph"/>
      </w:pPr>
      <w:r>
        <w:t xml:space="preserve">The outcome? A 31% increase in loan applications from target communities and industry recognition as Colombia's most user-centric fintech (LatinAmérica Digital, 2023). This case exemplifies how contextual understanding directly drives business value in</w:t>
      </w:r>
      <w:r>
        <w:t xml:space="preserve"> </w:t>
      </w:r>
      <w:r>
        <w:rPr>
          <w:bCs/>
          <w:b/>
        </w:rPr>
        <w:t xml:space="preserve">Colombia Bogotá</w:t>
      </w:r>
      <w:r>
        <w:t xml:space="preserve">.</w:t>
      </w:r>
    </w:p>
    <w:bookmarkEnd w:id="24"/>
    <w:bookmarkStart w:id="25" w:name="future-trajectory-beyond-the-screen"/>
    <w:p>
      <w:pPr>
        <w:pStyle w:val="Heading2"/>
      </w:pPr>
      <w:r>
        <w:t xml:space="preserve">Future Trajectory: Beyond the Screen</w:t>
      </w:r>
    </w:p>
    <w:p>
      <w:pPr>
        <w:pStyle w:val="FirstParagraph"/>
      </w:pPr>
      <w:r>
        <w:t xml:space="preserve">The next frontier for the</w:t>
      </w:r>
      <w:r>
        <w:t xml:space="preserve"> </w:t>
      </w:r>
      <w:r>
        <w:rPr>
          <w:iCs/>
          <w:i/>
        </w:rPr>
        <w:t xml:space="preserve">UX UI Designer</w:t>
      </w:r>
      <w:r>
        <w:t xml:space="preserve"> </w:t>
      </w:r>
      <w:r>
        <w:t xml:space="preserve">in Bogotá involves hyper-localized experiences. Emerging trends include:</w:t>
      </w:r>
    </w:p>
    <w:p>
      <w:pPr>
        <w:numPr>
          <w:ilvl w:val="0"/>
          <w:numId w:val="1004"/>
        </w:numPr>
        <w:pStyle w:val="Compact"/>
      </w:pPr>
      <w:r>
        <w:rPr>
          <w:iCs/>
          <w:i/>
        </w:rPr>
        <w:t xml:space="preserve">Cross-Channel Integration</w:t>
      </w:r>
      <w:r>
        <w:t xml:space="preserve">: Designing seamless transitions between mobile apps, physical kiosks in Bogotá's 100+ public libraries, and WhatsApp-based customer service.</w:t>
      </w:r>
    </w:p>
    <w:p>
      <w:pPr>
        <w:numPr>
          <w:ilvl w:val="0"/>
          <w:numId w:val="1004"/>
        </w:numPr>
        <w:pStyle w:val="Compact"/>
      </w:pPr>
      <w:r>
        <w:rPr>
          <w:iCs/>
          <w:i/>
        </w:rPr>
        <w:t xml:space="preserve">AI with Cultural Intelligence</w:t>
      </w:r>
      <w:r>
        <w:t xml:space="preserve">: Training chatbots to understand Bogotá-specific slang (e.g., "¡Qué chévere!" vs. generic "Great!") and regional dialects.</w:t>
      </w:r>
    </w:p>
    <w:p>
      <w:pPr>
        <w:numPr>
          <w:ilvl w:val="0"/>
          <w:numId w:val="1004"/>
        </w:numPr>
        <w:pStyle w:val="Compact"/>
      </w:pPr>
      <w:r>
        <w:rPr>
          <w:iCs/>
          <w:i/>
        </w:rPr>
        <w:t xml:space="preserve">Sustainability by Design</w:t>
      </w:r>
      <w:r>
        <w:t xml:space="preserve">: Reducing app data usage for low-bandwidth users, directly addressing Colombia's digital equity goals.</w:t>
      </w:r>
    </w:p>
    <w:bookmarkEnd w:id="25"/>
    <w:bookmarkStart w:id="26" w:name="X8b2640a333157b6e674f10e3561169c650b4c6e"/>
    <w:p>
      <w:pPr>
        <w:pStyle w:val="Heading2"/>
      </w:pPr>
      <w:r>
        <w:t xml:space="preserve">Conclusion: A Strategic Asset in Colombia Bogotá's Digital Economy</w:t>
      </w:r>
    </w:p>
    <w:p>
      <w:pPr>
        <w:pStyle w:val="FirstParagraph"/>
      </w:pPr>
      <w:r>
        <w:t xml:space="preserve">This dissertation affirms that the</w:t>
      </w:r>
      <w:r>
        <w:t xml:space="preserve"> </w:t>
      </w:r>
      <w:r>
        <w:rPr>
          <w:iCs/>
          <w:i/>
        </w:rPr>
        <w:t xml:space="preserve">UX UI Designer</w:t>
      </w:r>
      <w:r>
        <w:t xml:space="preserve"> </w:t>
      </w:r>
      <w:r>
        <w:t xml:space="preserve">in</w:t>
      </w:r>
      <w:r>
        <w:t xml:space="preserve"> </w:t>
      </w:r>
      <w:r>
        <w:rPr>
          <w:bCs/>
          <w:b/>
        </w:rPr>
        <w:t xml:space="preserve">Colombia Bogotá</w:t>
      </w:r>
      <w:r>
        <w:t xml:space="preserve"> </w:t>
      </w:r>
      <w:r>
        <w:t xml:space="preserve">is no longer a support role but a catalyst for inclusive growth. Success demands moving beyond Western design paradigms to embrace Colombia's linguistic, behavioral, and infrastructural realities. As Bogotá positions itself as Latin America's next Silicon Valley (Growth Hub Report, 2023), investing in culturally intelligent UX/UI professionals isn't optional—it's the foundation of competitive advantage. Future graduates must master local context as rigorously as they learn Figma or user testing frameworks. In a city where digital access defines opportunity, the</w:t>
      </w:r>
      <w:r>
        <w:t xml:space="preserve"> </w:t>
      </w:r>
      <w:r>
        <w:rPr>
          <w:iCs/>
          <w:i/>
        </w:rPr>
        <w:t xml:space="preserve">UX UI Designer</w:t>
      </w:r>
      <w:r>
        <w:t xml:space="preserve"> </w:t>
      </w:r>
      <w:r>
        <w:t xml:space="preserve">is ultimately designing not just interfaces—but equitable pathways to Colombia's digital future.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 in Colombia Bogotá</dc:title>
  <dc:creator/>
  <dc:language>en</dc:language>
  <cp:keywords/>
  <dcterms:created xsi:type="dcterms:W3CDTF">2025-12-11T13:43:32Z</dcterms:created>
  <dcterms:modified xsi:type="dcterms:W3CDTF">2025-12-11T13:43:32Z</dcterms:modified>
</cp:coreProperties>
</file>

<file path=docProps/custom.xml><?xml version="1.0" encoding="utf-8"?>
<Properties xmlns="http://schemas.openxmlformats.org/officeDocument/2006/custom-properties" xmlns:vt="http://schemas.openxmlformats.org/officeDocument/2006/docPropsVTypes"/>
</file>