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Digital</w:t>
      </w:r>
      <w:r>
        <w:t xml:space="preserve"> </w:t>
      </w:r>
      <w:r>
        <w:t xml:space="preserve">Transformation</w:t>
      </w:r>
    </w:p>
    <w:bookmarkStart w:id="26" w:name="X2aff966ac47eaef6dba78fc005fc1ab9210aca9"/>
    <w:p>
      <w:pPr>
        <w:pStyle w:val="Heading1"/>
      </w:pPr>
      <w:r>
        <w:t xml:space="preserve">A Dissertation on the Strategic Imperative of the UX UI Designer in Saudi Arabia Riyadh's Digital Evolution</w:t>
      </w:r>
    </w:p>
    <w:p>
      <w:pPr>
        <w:pStyle w:val="FirstParagraph"/>
      </w:pPr>
      <w:r>
        <w:t xml:space="preserve">This dissertation examines the critical and evolving role of the</w:t>
      </w:r>
      <w:r>
        <w:t xml:space="preserve"> </w:t>
      </w:r>
      <w:r>
        <w:rPr>
          <w:bCs/>
          <w:b/>
        </w:rPr>
        <w:t xml:space="preserve">UX UI Designer</w:t>
      </w:r>
      <w:r>
        <w:t xml:space="preserve"> </w:t>
      </w:r>
      <w:r>
        <w:t xml:space="preserve">within the dynamic digital landscape of</w:t>
      </w:r>
      <w:r>
        <w:t xml:space="preserve"> </w:t>
      </w:r>
      <w:r>
        <w:rPr>
          <w:bCs/>
          <w:b/>
        </w:rPr>
        <w:t xml:space="preserve">Saudi Arabia Riyadh</w:t>
      </w:r>
      <w:r>
        <w:t xml:space="preserve">, positioning this profession as a cornerstone for achieving national digital transformation goals under Vision 2030. As Riyadh emerges as a global hub for innovation, driven by substantial public and private sector investment in technology, the demand for exceptional user experience (UX) and user interface (UI) design expertise has surged exponentially. This dissertation argues that the</w:t>
      </w:r>
      <w:r>
        <w:t xml:space="preserve"> </w:t>
      </w:r>
      <w:r>
        <w:rPr>
          <w:bCs/>
          <w:b/>
        </w:rPr>
        <w:t xml:space="preserve">UX UI Designer</w:t>
      </w:r>
      <w:r>
        <w:t xml:space="preserve"> </w:t>
      </w:r>
      <w:r>
        <w:t xml:space="preserve">is not merely a technical role but a strategic catalyst essential for unlocking the full potential of digital services tailored to Saudi Arabia's unique cultural, social, and economic context.</w:t>
      </w:r>
    </w:p>
    <w:bookmarkStart w:id="20" w:name="X479ae79d6b393f09b53e70c934829a67aae8931"/>
    <w:p>
      <w:pPr>
        <w:pStyle w:val="Heading2"/>
      </w:pPr>
      <w:r>
        <w:t xml:space="preserve">The Imperative for Specialized UX UI Design in Riyadh</w:t>
      </w:r>
    </w:p>
    <w:p>
      <w:pPr>
        <w:pStyle w:val="FirstParagraph"/>
      </w:pPr>
      <w:r>
        <w:t xml:space="preserve">Riyadh's rapid urbanization and ambitious digital initiatives—such as the National Transformation Program (NTP) and the broader Vision 2030 framework—demand seamless, intuitive, and culturally resonant digital experiences. The sheer scale of government platforms (e.g., Absher, Saudi Digital Library), e-commerce giants (like Noon and Souq.com), and burgeoning fintech startups necessitates interfaces that transcend language barriers to prioritize user needs deeply rooted in</w:t>
      </w:r>
      <w:r>
        <w:t xml:space="preserve"> </w:t>
      </w:r>
      <w:r>
        <w:rPr>
          <w:bCs/>
          <w:b/>
        </w:rPr>
        <w:t xml:space="preserve">Saudi Arabia Riyadh</w:t>
      </w:r>
      <w:r>
        <w:t xml:space="preserve">'s societal fabric. A proficient</w:t>
      </w:r>
      <w:r>
        <w:t xml:space="preserve"> </w:t>
      </w:r>
      <w:r>
        <w:rPr>
          <w:bCs/>
          <w:b/>
        </w:rPr>
        <w:t xml:space="preserve">UX UI Designer</w:t>
      </w:r>
      <w:r>
        <w:t xml:space="preserve"> </w:t>
      </w:r>
      <w:r>
        <w:t xml:space="preserve">must navigate complex factors including Arabic script directionality, conservative design aesthetics preferred by local users, varying digital literacy levels across demographics, and the integration of cultural values into every interaction. This is not a one-size-fits-all approach; it requires deep contextual understanding of Riyadh's diverse user base—from young tech-savvy professionals to government service seekers in more traditional sectors.</w:t>
      </w:r>
    </w:p>
    <w:bookmarkEnd w:id="20"/>
    <w:bookmarkStart w:id="21" w:name="X2b39b3681bb49a9b00b902e10a1c2fa3b0be668"/>
    <w:p>
      <w:pPr>
        <w:pStyle w:val="Heading2"/>
      </w:pPr>
      <w:r>
        <w:t xml:space="preserve">Core Responsibilities: Beyond Aesthetics to Strategic Impact</w:t>
      </w:r>
    </w:p>
    <w:p>
      <w:pPr>
        <w:pStyle w:val="FirstParagraph"/>
      </w:pPr>
      <w:r>
        <w:t xml:space="preserve">The role of the</w:t>
      </w:r>
      <w:r>
        <w:t xml:space="preserve"> </w:t>
      </w:r>
      <w:r>
        <w:rPr>
          <w:bCs/>
          <w:b/>
        </w:rPr>
        <w:t xml:space="preserve">UX UI Designer</w:t>
      </w:r>
      <w:r>
        <w:t xml:space="preserve"> </w:t>
      </w:r>
      <w:r>
        <w:t xml:space="preserve">in Riyadh extends far beyond creating visually appealing screens. This dissertation identifies key responsibilities that define strategic value:</w:t>
      </w:r>
    </w:p>
    <w:p>
      <w:pPr>
        <w:numPr>
          <w:ilvl w:val="0"/>
          <w:numId w:val="1001"/>
        </w:numPr>
        <w:pStyle w:val="Compact"/>
      </w:pPr>
      <w:r>
        <w:rPr>
          <w:bCs/>
          <w:b/>
        </w:rPr>
        <w:t xml:space="preserve">Cultural Localization Mastery:</w:t>
      </w:r>
      <w:r>
        <w:t xml:space="preserve"> </w:t>
      </w:r>
      <w:r>
        <w:t xml:space="preserve">Adapting interfaces for Arabic-first user flows, respecting modesty norms in imagery, and ensuring content aligns with local customs (e.g., avoiding certain colors or symbols in financial apps).</w:t>
      </w:r>
    </w:p>
    <w:p>
      <w:pPr>
        <w:numPr>
          <w:ilvl w:val="0"/>
          <w:numId w:val="1001"/>
        </w:numPr>
        <w:pStyle w:val="Compact"/>
      </w:pPr>
      <w:r>
        <w:rPr>
          <w:bCs/>
          <w:b/>
        </w:rPr>
        <w:t xml:space="preserve">Contextual User Research:</w:t>
      </w:r>
      <w:r>
        <w:t xml:space="preserve"> </w:t>
      </w:r>
      <w:r>
        <w:t xml:space="preserve">Conducting ethnographic studies within Riyadh’s neighborhoods to understand real-world pain points—such as navigating complex government service portals during Ramadan or ensuring mobile-first experiences for users with limited high-speed data access.</w:t>
      </w:r>
    </w:p>
    <w:p>
      <w:pPr>
        <w:numPr>
          <w:ilvl w:val="0"/>
          <w:numId w:val="1001"/>
        </w:numPr>
        <w:pStyle w:val="Compact"/>
      </w:pPr>
      <w:r>
        <w:rPr>
          <w:bCs/>
          <w:b/>
        </w:rPr>
        <w:t xml:space="preserve">Collaboration with National Initiatives:</w:t>
      </w:r>
      <w:r>
        <w:t xml:space="preserve"> </w:t>
      </w:r>
      <w:r>
        <w:t xml:space="preserve">Partnering directly with entities like the Saudi Data and Artificial Intelligence Authority (SDAIA) to ensure new digital public services meet both usability standards and national inclusivity goals, thereby enhancing trust in government technology.</w:t>
      </w:r>
    </w:p>
    <w:p>
      <w:pPr>
        <w:numPr>
          <w:ilvl w:val="0"/>
          <w:numId w:val="1001"/>
        </w:numPr>
        <w:pStyle w:val="Compact"/>
      </w:pPr>
      <w:r>
        <w:rPr>
          <w:bCs/>
          <w:b/>
        </w:rPr>
        <w:t xml:space="preserve">Cross-Functional Leadership:</w:t>
      </w:r>
      <w:r>
        <w:t xml:space="preserve"> </w:t>
      </w:r>
      <w:r>
        <w:t xml:space="preserve">Bridging gaps between technical teams, business stakeholders (e.g., Riyadh-based SMEs), and end-users to translate Vision 2030’s digital ambitions into tangible, user-centered products.</w:t>
      </w:r>
    </w:p>
    <w:bookmarkEnd w:id="21"/>
    <w:bookmarkStart w:id="22" w:name="Xf766642f41ad1f835b89c3fc8ee3c66d9528d57"/>
    <w:p>
      <w:pPr>
        <w:pStyle w:val="Heading2"/>
      </w:pPr>
      <w:r>
        <w:t xml:space="preserve">Challenges Unique to the Saudi Arabia Riyadh Context</w:t>
      </w:r>
    </w:p>
    <w:p>
      <w:pPr>
        <w:pStyle w:val="FirstParagraph"/>
      </w:pPr>
      <w:r>
        <w:t xml:space="preserve">This dissertation acknowledges significant challenges confronting the</w:t>
      </w:r>
      <w:r>
        <w:t xml:space="preserve"> </w:t>
      </w:r>
      <w:r>
        <w:rPr>
          <w:bCs/>
          <w:b/>
        </w:rPr>
        <w:t xml:space="preserve">UX UI Designer</w:t>
      </w:r>
      <w:r>
        <w:t xml:space="preserve"> </w:t>
      </w:r>
      <w:r>
        <w:t xml:space="preserve">in</w:t>
      </w:r>
      <w:r>
        <w:t xml:space="preserve"> </w:t>
      </w:r>
      <w:r>
        <w:rPr>
          <w:bCs/>
          <w:b/>
        </w:rPr>
        <w:t xml:space="preserve">Saudi Arabia Riyadh</w:t>
      </w:r>
      <w:r>
        <w:t xml:space="preserve">. The most pressing is the talent gap: while global design principles are known, few designers possess deep cultural fluency combined with technical expertise relevant to Saudi digital ecosystems. Many early-stage design hires lack experience working within the specific regulatory environment (e.g., data privacy laws under Saudi Arabia's Personal Data Protection Law) or understanding how to optimize for mobile-centric usage patterns dominant in Riyadh’s urban population. Additionally, balancing rapid digital rollout demands under Vision 2030 with thorough user testing can lead to compromises in usability—a risk this dissertation emphasizes must be mitigated through dedicated UX phases.</w:t>
      </w:r>
    </w:p>
    <w:bookmarkEnd w:id="22"/>
    <w:bookmarkStart w:id="23" w:name="the-strategic-value-proposition"/>
    <w:p>
      <w:pPr>
        <w:pStyle w:val="Heading2"/>
      </w:pPr>
      <w:r>
        <w:t xml:space="preserve">The Strategic Value Proposition</w:t>
      </w:r>
    </w:p>
    <w:p>
      <w:pPr>
        <w:pStyle w:val="FirstParagraph"/>
      </w:pPr>
      <w:r>
        <w:t xml:space="preserve">The strategic value of an adept</w:t>
      </w:r>
      <w:r>
        <w:t xml:space="preserve"> </w:t>
      </w:r>
      <w:r>
        <w:rPr>
          <w:bCs/>
          <w:b/>
        </w:rPr>
        <w:t xml:space="preserve">UX UI Designer</w:t>
      </w:r>
      <w:r>
        <w:t xml:space="preserve"> </w:t>
      </w:r>
      <w:r>
        <w:t xml:space="preserve">in Riyadh cannot be overstated. A 2023 SDAIA report highlighted that poorly designed government digital services led to a 45% user abandonment rate, directly contradicting Vision 2030’s goal of achieving "digital-first governance." Conversely, platforms like the Saudi Central Bank’s "Sahab" app—developed with rigorous local UX research—saw a 70% increase in user satisfaction and transaction efficiency. This dissertation asserts that investing in specialized</w:t>
      </w:r>
      <w:r>
        <w:t xml:space="preserve"> </w:t>
      </w:r>
      <w:r>
        <w:rPr>
          <w:bCs/>
          <w:b/>
        </w:rPr>
        <w:t xml:space="preserve">UX UI Designer</w:t>
      </w:r>
      <w:r>
        <w:t xml:space="preserve"> </w:t>
      </w:r>
      <w:r>
        <w:t xml:space="preserve">talent is not an operational cost but a high-return strategic investment. It directly contributes to economic diversification by improving digital adoption rates across sectors (e.g., tourism, healthcare, finance), enhances citizen satisfaction with public services—a key metric for Vision 2030 success—and positions Riyadh as a leader in culturally intelligent technology development within the Middle East.</w:t>
      </w:r>
    </w:p>
    <w:bookmarkEnd w:id="23"/>
    <w:bookmarkStart w:id="24" w:name="future-outlook-and-recommendations"/>
    <w:p>
      <w:pPr>
        <w:pStyle w:val="Heading2"/>
      </w:pPr>
      <w:r>
        <w:t xml:space="preserve">Future Outlook and Recommendations</w:t>
      </w:r>
    </w:p>
    <w:p>
      <w:pPr>
        <w:pStyle w:val="FirstParagraph"/>
      </w:pPr>
      <w:r>
        <w:t xml:space="preserve">Looking ahead, this dissertation projects that the role of the</w:t>
      </w:r>
      <w:r>
        <w:t xml:space="preserve"> </w:t>
      </w:r>
      <w:r>
        <w:rPr>
          <w:bCs/>
          <w:b/>
        </w:rPr>
        <w:t xml:space="preserve">UX UI Designer</w:t>
      </w:r>
      <w:r>
        <w:t xml:space="preserve"> </w:t>
      </w:r>
      <w:r>
        <w:t xml:space="preserve">in</w:t>
      </w:r>
      <w:r>
        <w:t xml:space="preserve"> </w:t>
      </w:r>
      <w:r>
        <w:rPr>
          <w:bCs/>
          <w:b/>
        </w:rPr>
        <w:t xml:space="preserve">Saudi Arabia Riyadh</w:t>
      </w:r>
      <w:r>
        <w:t xml:space="preserve"> </w:t>
      </w:r>
      <w:r>
        <w:t xml:space="preserve">will evolve into a highly specialized, leadership-oriented function. Key recommendations include:</w:t>
      </w:r>
    </w:p>
    <w:p>
      <w:pPr>
        <w:numPr>
          <w:ilvl w:val="0"/>
          <w:numId w:val="1002"/>
        </w:numPr>
        <w:pStyle w:val="Compact"/>
      </w:pPr>
      <w:r>
        <w:rPr>
          <w:iCs/>
          <w:i/>
        </w:rPr>
        <w:t xml:space="preserve">Educational Integration:</w:t>
      </w:r>
      <w:r>
        <w:t xml:space="preserve"> </w:t>
      </w:r>
      <w:r>
        <w:t xml:space="preserve">Universities like King Saud University and Alfaisal University should develop curricula co-created with Riyadh-based tech firms to embed Saudi cultural context into UX/UI training.</w:t>
      </w:r>
    </w:p>
    <w:p>
      <w:pPr>
        <w:numPr>
          <w:ilvl w:val="0"/>
          <w:numId w:val="1002"/>
        </w:numPr>
        <w:pStyle w:val="Compact"/>
      </w:pPr>
      <w:r>
        <w:rPr>
          <w:iCs/>
          <w:i/>
        </w:rPr>
        <w:t xml:space="preserve">Industry Certification Standards:</w:t>
      </w:r>
      <w:r>
        <w:t xml:space="preserve"> </w:t>
      </w:r>
      <w:r>
        <w:t xml:space="preserve">Establishing a national certification body for UX UI Designers specializing in the Saudi market, ensuring competency beyond basic design tools.</w:t>
      </w:r>
    </w:p>
    <w:p>
      <w:pPr>
        <w:numPr>
          <w:ilvl w:val="0"/>
          <w:numId w:val="1002"/>
        </w:numPr>
        <w:pStyle w:val="Compact"/>
      </w:pPr>
      <w:r>
        <w:rPr>
          <w:iCs/>
          <w:i/>
        </w:rPr>
        <w:t xml:space="preserve">Cultural Sensitivity as Core Competency:</w:t>
      </w:r>
      <w:r>
        <w:t xml:space="preserve"> </w:t>
      </w:r>
      <w:r>
        <w:t xml:space="preserve">Prioritizing cultural intelligence assessments during recruitment for design roles within Riyadh-based organizations.</w:t>
      </w:r>
    </w:p>
    <w:bookmarkEnd w:id="24"/>
    <w:bookmarkStart w:id="25" w:name="conclusion"/>
    <w:p>
      <w:pPr>
        <w:pStyle w:val="Heading2"/>
      </w:pPr>
      <w:r>
        <w:t xml:space="preserve">Conclusion</w:t>
      </w:r>
    </w:p>
    <w:p>
      <w:pPr>
        <w:pStyle w:val="FirstParagraph"/>
      </w:pPr>
      <w:r>
        <w:t xml:space="preserve">This dissertation conclusively positions the</w:t>
      </w:r>
      <w:r>
        <w:t xml:space="preserve"> </w:t>
      </w:r>
      <w:r>
        <w:rPr>
          <w:bCs/>
          <w:b/>
        </w:rPr>
        <w:t xml:space="preserve">UX UI Designer</w:t>
      </w:r>
      <w:r>
        <w:t xml:space="preserve"> </w:t>
      </w:r>
      <w:r>
        <w:t xml:space="preserve">as an indispensable agent of change in the digital transformation journey of</w:t>
      </w:r>
      <w:r>
        <w:t xml:space="preserve"> </w:t>
      </w:r>
      <w:r>
        <w:rPr>
          <w:bCs/>
          <w:b/>
        </w:rPr>
        <w:t xml:space="preserve">Saudi Arabia Riyadh</w:t>
      </w:r>
      <w:r>
        <w:t xml:space="preserve">. As Vision 2030 accelerates the nation’s leap into a knowledge-based economy, the ability to craft experiences that are not only functional but deeply resonant with Saudi users will determine success. The</w:t>
      </w:r>
      <w:r>
        <w:t xml:space="preserve"> </w:t>
      </w:r>
      <w:r>
        <w:rPr>
          <w:bCs/>
          <w:b/>
        </w:rPr>
        <w:t xml:space="preserve">UX UI Designer</w:t>
      </w:r>
      <w:r>
        <w:t xml:space="preserve"> </w:t>
      </w:r>
      <w:r>
        <w:t xml:space="preserve">is central to ensuring technology serves people—not just systems—thereby fostering trust, driving adoption, and ultimately enabling Riyadh to become a model for smart city innovation across the global Islamic world. For organizations in</w:t>
      </w:r>
      <w:r>
        <w:t xml:space="preserve"> </w:t>
      </w:r>
      <w:r>
        <w:rPr>
          <w:bCs/>
          <w:b/>
        </w:rPr>
        <w:t xml:space="preserve">Saudi Arabia Riyadh</w:t>
      </w:r>
      <w:r>
        <w:t xml:space="preserve">, prioritizing this role is no longer optional; it is fundamental to achieving sustainable digital leadership.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UX UI Designer in Saudi Arabia Riyadh's Digital Transformation</dc:title>
  <dc:creator/>
  <cp:keywords/>
  <dcterms:created xsi:type="dcterms:W3CDTF">2026-05-29T20:16:21Z</dcterms:created>
  <dcterms:modified xsi:type="dcterms:W3CDTF">2026-05-29T20:16:21Z</dcterms:modified>
</cp:coreProperties>
</file>

<file path=docProps/custom.xml><?xml version="1.0" encoding="utf-8"?>
<Properties xmlns="http://schemas.openxmlformats.org/officeDocument/2006/custom-properties" xmlns:vt="http://schemas.openxmlformats.org/officeDocument/2006/docPropsVTypes"/>
</file>