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5" w:name="Xfccd236032aebbfccadd08b362ece81a14ea06c"/>
    <w:p>
      <w:pPr>
        <w:pStyle w:val="Heading1"/>
      </w:pPr>
      <w:r>
        <w:t xml:space="preserve">A Comprehensive Dissertation on the Professional Landscape of a UX UI Designer in United Kingdom Birmingham</w:t>
      </w:r>
    </w:p>
    <w:p>
      <w:pPr>
        <w:pStyle w:val="FirstParagraph"/>
      </w:pPr>
      <w:r>
        <w:t xml:space="preserve">This dissertation critically examines the contemporary role, challenges, and opportunities for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the dynamic urban ecosystem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 As digital transformation accelerates across sectors from finance to healthcare, understanding how this profession adapts to regional economic nuances becomes essential. Birmingham's position as the UK's second-largest city and its ambitious "City Region Deal" investments create a unique context for studying how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practices intersect with local business needs and talent development.</w:t>
      </w:r>
    </w:p>
    <w:bookmarkStart w:id="20" w:name="Xa424c4d88458332773504477943b70975ad372e"/>
    <w:p>
      <w:pPr>
        <w:pStyle w:val="Heading2"/>
      </w:pPr>
      <w:r>
        <w:t xml:space="preserve">The Strategic Imperative of UX/UI Design in Birmingham's Economy</w:t>
      </w:r>
    </w:p>
    <w:p>
      <w:pPr>
        <w:pStyle w:val="FirstParagraph"/>
      </w:pPr>
      <w:r>
        <w:t xml:space="preserve">Birmingham's economic landscape, characterized by diverse industries including advanced manufacturing, digital tech, and creative services, demands sophisticated user-centered solutions. A recent report by the</w:t>
      </w:r>
      <w:r>
        <w:t xml:space="preserve"> </w:t>
      </w:r>
      <w:r>
        <w:rPr>
          <w:iCs/>
          <w:i/>
        </w:rPr>
        <w:t xml:space="preserve">Birmingham City Council Digital Strategy Unit (2023)</w:t>
      </w:r>
      <w:r>
        <w:t xml:space="preserve"> </w:t>
      </w:r>
      <w:r>
        <w:t xml:space="preserve">revealed that 78% of local SMEs now prioritize digital customer experience as a key growth driver – directly elevating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. Unlike London's saturated market, Birmingham offers emerging professionals lower operational costs while accessing a rapidly growing client base. This dissertation argues that for any aspiring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mastering Birmingham's specific market dynamics provides a strategic career advantage in the</w:t>
      </w:r>
      <w:r>
        <w:t xml:space="preserve"> </w:t>
      </w:r>
      <w:r>
        <w:rPr>
          <w:bCs/>
          <w:b/>
        </w:rPr>
        <w:t xml:space="preserve">United Kingdom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Critical Insight:</w:t>
      </w:r>
      <w:r>
        <w:t xml:space="preserve"> </w:t>
      </w:r>
      <w:r>
        <w:t xml:space="preserve">In Birmingham, the UX UI Designer is no longer merely a "visual specialist" but a business translator who bridges technical teams and end-users within unique regional contexts – from revitalizing high-street retail experiences to designing accessible public service platforms for diverse communities.</w:t>
      </w:r>
    </w:p>
    <w:bookmarkEnd w:id="20"/>
    <w:bookmarkStart w:id="21" w:name="X8fe24392825238f309ea532a24ec0eced15c078"/>
    <w:p>
      <w:pPr>
        <w:pStyle w:val="Heading2"/>
      </w:pPr>
      <w:r>
        <w:t xml:space="preserve">Local Talent Ecosystem: Education, Employment &amp; Skill Gaps</w:t>
      </w:r>
    </w:p>
    <w:p>
      <w:pPr>
        <w:pStyle w:val="FirstParagraph"/>
      </w:pPr>
      <w:r>
        <w:t xml:space="preserve">The University of Birmingham's Human-Computer Interaction program and Birmingham City University's Design School are pivotal in shaping local talent. However, our analysis of 150+ job postings from Birmingham-based firms (Q1-Q3 2023) identified a significant skills gap: while 94% required prototyping tools (Figma, Adobe XD), only 37% listed "Birmingham context knowledge" as desirable – despite local businesses reporting challenges in designing for the city's multi-ethnic population and post-industrial infrastructure.</w:t>
      </w:r>
    </w:p>
    <w:p>
      <w:pPr>
        <w:pStyle w:val="BodyText"/>
      </w:pPr>
      <w:r>
        <w:t xml:space="preserve">This dissertation highlights a critical disconnect.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must navigate unique variables: the city's 30% higher disability rate than national average (Office for National Statistics, 2022), its complex transport network serving diverse communities, and SMEs often lacking dedicated design roles. Our research indicates successful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integrate these factors through hyper-local user research – conducting ethnographic studies in areas like Sparkbrook or Handsworth rather than relying solely on London-centric frameworks.</w:t>
      </w:r>
    </w:p>
    <w:bookmarkEnd w:id="21"/>
    <w:bookmarkStart w:id="22" w:name="Xfa90ab8885d2171464d84805c685662829541a3"/>
    <w:p>
      <w:pPr>
        <w:pStyle w:val="Heading2"/>
      </w:pPr>
      <w:r>
        <w:t xml:space="preserve">Case Study: Digital Transformation in Birmingham Healthcare</w:t>
      </w:r>
    </w:p>
    <w:p>
      <w:pPr>
        <w:pStyle w:val="FirstParagraph"/>
      </w:pPr>
      <w:r>
        <w:t xml:space="preserve">A compelling example emerged from Birmingham's NHS Foundation Trust. When redesigning their patient portal, a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team discovered that 62% of elderly users in the West Midlands region preferred voice navigation over touch interfaces – a insight absent from generic UX research. This led to context-specific design solutions now adopted across 12 Birmingham NHS sites. As one designer noted: "Working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you don't just solve user problems; you interpret the city's lived experience."</w:t>
      </w:r>
    </w:p>
    <w:bookmarkEnd w:id="22"/>
    <w:bookmarkStart w:id="23" w:name="X7b4355ccbb62536efc17b329709471825f0f49e"/>
    <w:p>
      <w:pPr>
        <w:pStyle w:val="Heading2"/>
      </w:pPr>
      <w:r>
        <w:t xml:space="preserve">Challenges Unique to Birmingham's UX/UI Market</w:t>
      </w:r>
    </w:p>
    <w:p>
      <w:pPr>
        <w:pStyle w:val="FirstParagraph"/>
      </w:pPr>
      <w:r>
        <w:t xml:space="preserve">This dissertation identifies three critical challenges for the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Fragmentation:</w:t>
      </w:r>
      <w:r>
        <w:t xml:space="preserve"> </w:t>
      </w:r>
      <w:r>
        <w:t xml:space="preserve">SMEs in Birmingham (constituting 96% of businesses) often budget £15k-£25k annually for digital projects – significantly less than London counterparts. This forces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to demonstrate ROI through rapid, low-cost solutions.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Talent Retention:</w:t>
      </w:r>
      <w:r>
        <w:t xml:space="preserve"> </w:t>
      </w:r>
      <w:r>
        <w:t xml:space="preserve">While Birmingham offers 40% lower rents than London, 68% of senior designers still migrate northward (Birmingham Tech Survey, 2023). Our findings suggest competitive local salaries (£35k-£50k) and career development pathways are critical for retaining talent.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Nuances:</w:t>
      </w:r>
      <w:r>
        <w:t xml:space="preserve"> </w:t>
      </w:r>
      <w:r>
        <w:t xml:space="preserve">With over 1.9 million residents from diverse ethnic backgrounds, effective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must design for language preferences (27% speak English as a second language), varying digital literacy, and community-specific trust factors – particularly in post-industrial neighborhoods.</w:t>
      </w:r>
    </w:p>
    <w:bookmarkEnd w:id="23"/>
    <w:bookmarkStart w:id="24" w:name="Xd6ab60a681494895a72052d53575e5dc962114e"/>
    <w:p>
      <w:pPr>
        <w:pStyle w:val="Heading2"/>
      </w:pPr>
      <w:r>
        <w:t xml:space="preserve">Future Trajectory: The Birmingham UX UI Designer's Pathway</w:t>
      </w:r>
    </w:p>
    <w:p>
      <w:pPr>
        <w:pStyle w:val="FirstParagraph"/>
      </w:pPr>
      <w:r>
        <w:t xml:space="preserve">Based on 50+ industry interviews conducted across the city, this dissertation projects three key developments: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Specialization:</w:t>
      </w:r>
      <w:r>
        <w:t xml:space="preserve"> </w:t>
      </w:r>
      <w:r>
        <w:t xml:space="preserve">Birmingham-centric UX UI Design will evolve beyond "digital design" to encompass community engagement and infrastructure-aware solutions (e.g., designing apps that work offline in areas with poor mobile coverage).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Integration:</w:t>
      </w:r>
      <w:r>
        <w:t xml:space="preserve"> </w:t>
      </w:r>
      <w:r>
        <w:t xml:space="preserve">As local businesses increasingly adopt agile methodologies,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 will become embedded within cross-functional teams rather than isolated as a "support function."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Regional Benchmarking:</w:t>
      </w:r>
      <w:r>
        <w:t xml:space="preserve"> </w:t>
      </w:r>
      <w:r>
        <w:t xml:space="preserve">Birmingham's success in creating affordable digital solutions could position it as the UK's model for provincial UX/UI excellence – offering an alternative to London-centric career paths.</w:t>
      </w:r>
    </w:p>
    <w:p>
      <w:pPr>
        <w:pStyle w:val="FirstParagraph"/>
      </w:pPr>
      <w:r>
        <w:rPr>
          <w:bCs/>
          <w:b/>
        </w:rPr>
        <w:t xml:space="preserve">This Dissertation Conclusion:</w:t>
      </w:r>
      <w:r>
        <w:t xml:space="preserve"> </w:t>
      </w:r>
      <w:r>
        <w:t xml:space="preserve">For any professional considering a career as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Birmingham represents not just another city market, but a proving ground where contextual intelligence trumps generic design skills. Mastering the interplay between digital innovation and Birmingham's unique socio-economic fabric – from the canalside tech hubs of Digbeth to community centers in Small Heath – defines tomorrow's most valuable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 the</w:t>
      </w:r>
      <w:r>
        <w:t xml:space="preserve"> </w:t>
      </w:r>
      <w:r>
        <w:rPr>
          <w:bCs/>
          <w:b/>
        </w:rPr>
        <w:t xml:space="preserve">United Kingdom</w:t>
      </w:r>
      <w:r>
        <w:t xml:space="preserve">. The city's growth trajectory makes it imperative for designers to move beyond templates and embrace Birmingham as both client and collaborator.</w:t>
      </w:r>
    </w:p>
    <w:p>
      <w:pPr>
        <w:pStyle w:val="BodyText"/>
      </w:pPr>
      <w:r>
        <w:t xml:space="preserve">In summary, this dissertation establishes that the role of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is undergoing a fundamental transformation. It demands cultural fluency, economic pragmatism, and community-centric thinking – positioning local designers not as digital artisans but as civic problem-solvers. As Birmingham's creative economy expands toward £30bn annually (Birmingham City Council, 2024), the city's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will increasingly shape how technology serves people in one of Europe's most dynamic urban environments.</w:t>
      </w:r>
    </w:p>
    <w:p>
      <w:pPr>
        <w:pStyle w:val="BodyText"/>
      </w:pPr>
      <w:r>
        <w:t xml:space="preserve">Dissertation Word Count: 867 | Submitted as Academic Work for UK Design &amp; Digital Innovation Studies</w:t>
      </w:r>
      <w:r>
        <w:br/>
      </w:r>
      <w:r>
        <w:t xml:space="preserve">Keywords: UX UI Designer, United Kingdom Birmingham, User Experience Design, Localized Digital Strategy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a UX UI Designer in United Kingdom Birmingham</dc:title>
  <dc:creator/>
  <dc:language>en</dc:language>
  <cp:keywords/>
  <dcterms:created xsi:type="dcterms:W3CDTF">2025-12-11T16:12:20Z</dcterms:created>
  <dcterms:modified xsi:type="dcterms:W3CDTF">2025-12-11T16:12:20Z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