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4" w:name="Xe83169c7693b3062cdb4020b94df1029510e436"/>
    <w:p>
      <w:pPr>
        <w:pStyle w:val="Heading1"/>
      </w:pPr>
      <w:r>
        <w:t xml:space="preserve">The Role of the Academic Researcher in Kuwait City: Bridging Tradition and Modernity</w:t>
      </w:r>
    </w:p>
    <w:p>
      <w:pPr>
        <w:pStyle w:val="FirstParagraph"/>
      </w:pPr>
      <w:r>
        <w:t xml:space="preserve">In the dynamic landscape of contemporary knowledge economies, the figure of the</w:t>
      </w:r>
      <w:r>
        <w:t xml:space="preserve"> </w:t>
      </w:r>
      <w:r>
        <w:rPr>
          <w:bCs/>
          <w:b/>
        </w:rPr>
        <w:t xml:space="preserve">Academic Researcher</w:t>
      </w:r>
      <w:r>
        <w:t xml:space="preserve"> has emerged as a pivotal architect of societal progress. Nowhere is this transformation more palpable or critical than in</w:t>
      </w:r>
      <w:r>
        <w:t xml:space="preserve"> </w:t>
      </w:r>
      <w:r>
        <w:rPr>
          <w:bCs/>
          <w:b/>
        </w:rPr>
        <w:t xml:space="preserve">Kuwait City</w:t>
      </w:r>
      <w:r>
        <w:t xml:space="preserve">, the vibrant capital that stands at the crossroads of ancient heritage and futuristic ambition. As Kuwait navigates its post-oil economic diversification strategies outlined in Kuwait Vision 2035, known as "New Dawn," the role of higher education and scientific inquiry has shifted from a peripheral support function to a central driver of national identity and economic resilience. This essay explores the multifaceted responsibilities, challenges, and opportunities facing the</w:t>
      </w:r>
      <w:r>
        <w:t xml:space="preserve"> </w:t>
      </w:r>
      <w:r>
        <w:rPr>
          <w:bCs/>
          <w:b/>
        </w:rPr>
        <w:t xml:space="preserve">Academic Researcher</w:t>
      </w:r>
      <w:r>
        <w:t xml:space="preserve"> within the unique socio-cultural and geographical context of</w:t>
      </w:r>
      <w:r>
        <w:t xml:space="preserve"> </w:t>
      </w:r>
      <w:r>
        <w:rPr>
          <w:bCs/>
          <w:b/>
        </w:rPr>
        <w:t xml:space="preserve">Kuwait City</w:t>
      </w:r>
      <w:r>
        <w:t xml:space="preserve">.</w:t>
      </w:r>
    </w:p>
    <w:bookmarkStart w:id="20" w:name="X88dad9519c14595a8ae1e2bba0167a1c9affb90"/>
    <w:p>
      <w:pPr>
        <w:pStyle w:val="Heading2"/>
      </w:pPr>
      <w:r>
        <w:t xml:space="preserve">The Strategic Imperative of Knowledge in Kuwait City</w:t>
      </w:r>
    </w:p>
    <w:p>
      <w:pPr>
        <w:pStyle w:val="FirstParagraph"/>
      </w:pPr>
      <w:r>
        <w:t xml:space="preserve">Kuwait City Academic Researcher plays a crucial role in this transition. Historically, the academic ecosystem in</w:t>
      </w:r>
      <w:r>
        <w:t xml:space="preserve"> </w:t>
      </w:r>
      <w:r>
        <w:rPr>
          <w:bCs/>
          <w:b/>
        </w:rPr>
        <w:t xml:space="preserve">Kuwait City</w:t>
      </w:r>
      <w:r>
        <w:t xml:space="preserve"> was characterized by the importation of expertise and the application of foreign models. However, today there is a distinct shift toward indigenous knowledge production. Researchers are no longer just consumers of global knowledge but active creators who must address local challenges with global relevance.</w:t>
      </w:r>
    </w:p>
    <w:p>
      <w:pPr>
        <w:pStyle w:val="BodyText"/>
      </w:pPr>
      <w:r>
        <w:t xml:space="preserve">The environment in</w:t>
      </w:r>
    </w:p>
    <w:p>
      <w:pPr>
        <w:pStyle w:val="BodyText"/>
      </w:pPr>
      <w:r>
        <w:t xml:space="preserve">Kuwait City is characterized by a dense concentration of universities, research institutes, and governmental think tanks. Institutions such as Kuwait University, the American University of Beirut’s satellite initiatives (and other regional partners), and specialized centers for artificial intelligence and environmental studies are fostering an ecosystem where the</w:t>
      </w:r>
    </w:p>
    <w:p>
      <w:pPr>
        <w:pStyle w:val="BodyText"/>
      </w:pPr>
      <w:r>
        <w:t xml:space="preserve">Academic Researcher can thrive. The capital serves as a microcosm of the broader GCC region, offering a unique laboratory for studying urbanization in extreme climates, water scarcity management, and the integration of Islamic finance with modern economic theories.</w:t>
      </w:r>
    </w:p>
    <w:bookmarkEnd w:id="20"/>
    <w:bookmarkStart w:id="21" w:name="Xc63c43b7b2293ebba98ea75e26788e82408684e"/>
    <w:p>
      <w:pPr>
        <w:pStyle w:val="Heading2"/>
      </w:pPr>
      <w:r>
        <w:t xml:space="preserve">The Dual Mandate: Cultural Preservation and Innovation</w:t>
      </w:r>
    </w:p>
    <w:p>
      <w:pPr>
        <w:pStyle w:val="FirstParagraph"/>
      </w:pPr>
      <w:r>
        <w:t xml:space="preserve">A defining characteristic of the</w:t>
      </w:r>
    </w:p>
    <w:p>
      <w:pPr>
        <w:pStyle w:val="BodyText"/>
      </w:pPr>
      <w:r>
        <w:t xml:space="preserve">Academic Researcher in</w:t>
      </w:r>
    </w:p>
    <w:p>
      <w:pPr>
        <w:pStyle w:val="BodyText"/>
      </w:pPr>
      <w:r>
        <w:t xml:space="preserve">Kuwait City is the dual mandate to innovate while preserving cultural integrity. The researcher must navigate a delicate balance between adopting global scientific standards and respecting the local Bedouin and maritime heritage that defines Kuwaiti identity. For instance, research in humanities and social sciences often focuses on documenting oral histories, analyzing tribal structures in modern governance, and exploring the evolution of Arabic literature in a digital age.</w:t>
      </w:r>
    </w:p>
    <w:p>
      <w:pPr>
        <w:pStyle w:val="BodyText"/>
      </w:pPr>
      <w:r>
        <w:t xml:space="preserve">In the sciences, this duality manifests in environmental research tailored to the Gulf region. The</w:t>
      </w:r>
    </w:p>
    <w:p>
      <w:pPr>
        <w:pStyle w:val="BodyText"/>
      </w:pPr>
      <w:r>
        <w:t xml:space="preserve">Academic Researcher is tasked with developing sustainable agricultural techniques that can withstand high salinity and heat, directly contributing to national food security. Furthermore, researchers are investigating renewable energy solutions suitable for desert environments, ensuring that Kuwait’s transition away from oil does not come at the expense of its ecological stability. These efforts underscore the necessity of context-specific research rather than a one-size-fits-all approach imported from Western institutions.</w:t>
      </w:r>
    </w:p>
    <w:bookmarkEnd w:id="21"/>
    <w:bookmarkStart w:id="22" w:name="challenges-and-institutional-support"/>
    <w:p>
      <w:pPr>
        <w:pStyle w:val="Heading2"/>
      </w:pPr>
      <w:r>
        <w:t xml:space="preserve">Challenges and Institutional Support</w:t>
      </w:r>
    </w:p>
    <w:p>
      <w:pPr>
        <w:pStyle w:val="FirstParagraph"/>
      </w:pPr>
      <w:r>
        <w:t xml:space="preserve">Despite the progress,</w:t>
      </w:r>
    </w:p>
    <w:p>
      <w:pPr>
        <w:pStyle w:val="BodyText"/>
      </w:pPr>
      <w:r>
        <w:t xml:space="preserve">Academic Researchers in</w:t>
      </w:r>
    </w:p>
    <w:p>
      <w:pPr>
        <w:pStyle w:val="BodyText"/>
      </w:pPr>
      <w:r>
        <w:t xml:space="preserve">Kuwait City face significant challenges. Bureaucratic hurdles, funding constraints for early-career researchers, and the need for more robust industry-academia collaboration remain persistent issues. The translation of research findings into policy or commercial application is often hindered by fragmented communication channels between universities and the private sector.</w:t>
      </w:r>
    </w:p>
    <w:p>
      <w:pPr>
        <w:pStyle w:val="BodyText"/>
      </w:pPr>
      <w:r>
        <w:t xml:space="preserve">However, supportive measures are gaining momentum. The government has established grants and incentives to encourage publication in high-impact journals and participation in international conferences. Moreover,</w:t>
      </w:r>
    </w:p>
    <w:p>
      <w:pPr>
        <w:pStyle w:val="BodyText"/>
      </w:pPr>
      <w:r>
        <w:t xml:space="preserve">Kuwait City has become a hub for regional collaboration, hosting forums where researchers from across the Arab world exchange ideas. This networking opportunity enhances the visibility of local scholars and fosters partnerships that can lead to large-scale collaborative projects.</w:t>
      </w:r>
    </w:p>
    <w:bookmarkEnd w:id="22"/>
    <w:bookmarkStart w:id="23" w:name="the-future-outlook"/>
    <w:p>
      <w:pPr>
        <w:pStyle w:val="Heading2"/>
      </w:pPr>
      <w:r>
        <w:t xml:space="preserve">The Future Outlook</w:t>
      </w:r>
    </w:p>
    <w:p>
      <w:pPr>
        <w:pStyle w:val="FirstParagraph"/>
      </w:pPr>
      <w:r>
        <w:t xml:space="preserve">Looking ahead, the role of the</w:t>
      </w:r>
    </w:p>
    <w:p>
      <w:pPr>
        <w:pStyle w:val="BodyText"/>
      </w:pPr>
      <w:r>
        <w:t xml:space="preserve">Academic Researcher in</w:t>
      </w:r>
    </w:p>
    <w:p>
      <w:pPr>
        <w:pStyle w:val="BodyText"/>
      </w:pPr>
      <w:r>
        <w:t xml:space="preserve">Kuwait City will likely expand into interdisciplinary fields. Issues such as climate change adaptation, public health epidemiology in dense urban settings, and digital ethics require integrated approaches that break down traditional departmental silos. The capital’s strategic location also positions it as a gateway for research connecting the Middle East with Asia and Europe.</w:t>
      </w:r>
    </w:p>
    <w:p>
      <w:pPr>
        <w:pStyle w:val="BodyText"/>
      </w:pPr>
      <w:r>
        <w:t xml:space="preserve">In conclusion, the</w:t>
      </w:r>
    </w:p>
    <w:p>
      <w:pPr>
        <w:pStyle w:val="BodyText"/>
      </w:pPr>
      <w:r>
        <w:t xml:space="preserve">Academic Researcher in</w:t>
      </w:r>
    </w:p>
    <w:p>
      <w:pPr>
        <w:pStyle w:val="BodyText"/>
      </w:pPr>
      <w:r>
        <w:t xml:space="preserve">Kuwait City is not merely an educator or scientist but a nation-builder. By producing locally relevant knowledge that respects cultural traditions while embracing global innovation, these researchers are laying the intellectual foundation for Kuwait’s sustainable future. As</w:t>
      </w:r>
    </w:p>
    <w:p>
      <w:pPr>
        <w:pStyle w:val="BodyText"/>
      </w:pPr>
      <w:r>
        <w:t xml:space="preserve">Kuwait City continues to modernize, its academic community must remain agile, resilient, and deeply engaged with the societal needs of its citizens. The synergy between rigorous inquiry and practical application will ultimately determine how successfully Kuwait can diversify its economy and enhance the quality of life for all who call this historic city home.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Kuwait City: Bridging Tradition and Modernity</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file>