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China</w:t>
      </w:r>
      <w:r>
        <w:t xml:space="preserve"> </w:t>
      </w:r>
      <w:r>
        <w:t xml:space="preserve">Guangzhou</w:t>
      </w:r>
    </w:p>
    <w:bookmarkStart w:id="26" w:name="X5c53926878859015825af29d105a702e5bac3da"/>
    <w:p>
      <w:pPr>
        <w:pStyle w:val="Heading1"/>
      </w:pPr>
      <w:r>
        <w:t xml:space="preserve">The Strategic Evolution of the Banker in China Guangzhou</w:t>
      </w:r>
    </w:p>
    <w:p>
      <w:pPr>
        <w:pStyle w:val="FirstParagraph"/>
      </w:pPr>
      <w:r>
        <w:rPr>
          <w:bCs/>
          <w:b/>
        </w:rPr>
        <w:t xml:space="preserve">Abstract</w:t>
      </w:r>
    </w:p>
    <w:p>
      <w:pPr>
        <w:pStyle w:val="BodyText"/>
      </w:pPr>
      <w:r>
        <w:t xml:space="preserve">This essay explores the multifaceted role of the banker within the dynamic economic landscape of China Guangzhou. By examining historical roots, modern financial innovations, and regulatory frameworks, we analyze how this professional entity serves as a critical pillar in one of China’s most vibrant commercial hubs. The intersection of traditional commerce and digital finance in Guangzhou creates a unique environment for banking practices.</w:t>
      </w:r>
    </w:p>
    <w:bookmarkStart w:id="20" w:name="introduction-the-heartbeat-of-commerce"/>
    <w:p>
      <w:pPr>
        <w:pStyle w:val="Heading2"/>
      </w:pPr>
      <w:r>
        <w:t xml:space="preserve">Introduction: The Heartbeat of Commerce</w:t>
      </w:r>
    </w:p>
    <w:p>
      <w:pPr>
        <w:pStyle w:val="FirstParagraph"/>
      </w:pPr>
      <w:r>
        <w:t xml:space="preserve">To understand the significance of the banker, one must first appreciate the economic anatomy of China Guangzhou. As a city with over two thousand years of trading history and as the capital of Guangdong Province, Guangzhou serves as a gateway between China and the world. The modern economy here is driven by trade fairs, export-import logistics, manufacturing hubs, and an increasingly robust service sector. In this context, the banker transcends their traditional definition as mere custodians of deposits; they have evolved into strategic partners in economic development.</w:t>
      </w:r>
    </w:p>
    <w:p>
      <w:pPr>
        <w:pStyle w:val="BodyText"/>
      </w:pPr>
      <w:r>
        <w:t xml:space="preserve">The role of the banker in China Guangzhou is deeply intertwined with the city’s identity as a commercial nexus. Unlike financial centers that focus purely on investment banking or speculative trading, Guangzhou’s financial ecosystem is rooted in tangible commerce. Consequently, bankers operating here specialize in trade finance, supply chain credit, and small-to-medium enterprise (SME) lending. This specialization ensures that capital flows efficiently to the factories and retailers that form the backbone of regional prosperity.</w:t>
      </w:r>
    </w:p>
    <w:bookmarkEnd w:id="20"/>
    <w:bookmarkStart w:id="21" w:name="Xe75b110f1f8d51a8a314bbbc52bbb2daa187e26"/>
    <w:p>
      <w:pPr>
        <w:pStyle w:val="Heading2"/>
      </w:pPr>
      <w:r>
        <w:t xml:space="preserve">Historical Context: From the Canton System to Modern Banking</w:t>
      </w:r>
    </w:p>
    <w:p>
      <w:pPr>
        <w:pStyle w:val="FirstParagraph"/>
      </w:pPr>
      <w:r>
        <w:t xml:space="preserve">The history of banking in this region traces back to the "Canton System," a trade monopoly enforced by Qing Dynasty authorities from 1757 until the Opium Wars. During this era, local merchants acted as intermediaries, but the seeds of formal financial services were sown with the arrival of Western trading houses. Early bankers in Guangzhou facilitated currency exchange and letters of credit for international traders.</w:t>
      </w:r>
    </w:p>
    <w:p>
      <w:pPr>
        <w:pStyle w:val="BodyText"/>
      </w:pPr>
      <w:r>
        <w:t xml:space="preserve">Today’s banker stands on this historical legacy but operates within a vastly different framework. While past banking relationships relied heavily on personal trust among merchant families, contemporary banking in China Guangzhou is characterized by institutional rigor, technological integration, and regulatory compliance. Nevertheless, the core function remains unchanged: facilitating trade through reliable financial instruments.</w:t>
      </w:r>
    </w:p>
    <w:bookmarkEnd w:id="21"/>
    <w:bookmarkStart w:id="22" w:name="X89c50f8c568bd02120df0a20539db941bf7864d"/>
    <w:p>
      <w:pPr>
        <w:pStyle w:val="Heading2"/>
      </w:pPr>
      <w:r>
        <w:t xml:space="preserve">The Digital Transformation of Banking Services</w:t>
      </w:r>
    </w:p>
    <w:p>
      <w:pPr>
        <w:pStyle w:val="FirstParagraph"/>
      </w:pPr>
      <w:r>
        <w:t xml:space="preserve">In recent years, the profile of the banker has been radically altered by digitalization. China Guangzhou is at the forefront of adopting fintech solutions, driven by both local government initiatives and global technological trends. Banks in this region are no longer just physical branches where transactions occur; they are digital platforms integrated with e-commerce sites, logistics networks, and payment gateways.</w:t>
      </w:r>
    </w:p>
    <w:p>
      <w:pPr>
        <w:pStyle w:val="BodyText"/>
      </w:pPr>
      <w:r>
        <w:t xml:space="preserve">Mobile payments have become ubiquitous in Guangzhou, influencing how bankers design consumer products. Credit scoring algorithms now leverage big data from online shopping habits and utility payments to assess creditworthiness more accurately than traditional methods allowed. For the banker specializing in corporate clients, digital platforms enable real-time monitoring of supply chains, reducing risk and improving liquidity management for export-oriented businesses.</w:t>
      </w:r>
    </w:p>
    <w:bookmarkEnd w:id="22"/>
    <w:bookmarkStart w:id="23" w:name="regulatory-landscape-and-risk-management"/>
    <w:p>
      <w:pPr>
        <w:pStyle w:val="Heading2"/>
      </w:pPr>
      <w:r>
        <w:t xml:space="preserve">Regulatory Landscape and Risk Management</w:t>
      </w:r>
    </w:p>
    <w:p>
      <w:pPr>
        <w:pStyle w:val="FirstParagraph"/>
      </w:pPr>
      <w:r>
        <w:t xml:space="preserve">Navigating the regulatory environment is a crucial aspect of being a banker in this region. Operating within China Guangzhou requires strict adherence to national financial regulations set by the People’s Bank of China and local guidelines designed to foster economic stability. Recent years have seen increased scrutiny on cross-border capital flows, anti-money laundering (AML) protocols, and data security.</w:t>
      </w:r>
    </w:p>
    <w:p>
      <w:pPr>
        <w:pStyle w:val="BodyText"/>
      </w:pPr>
      <w:r>
        <w:t xml:space="preserve">Banks must balance innovation with compliance. For instance, while digital lending expands access to capital for SMEs, it also raises concerns about debt sustainability and systemic risk. Bankers are therefore tasked with rigorous due diligence processes that combine automated monitoring with human judgment. This dual approach ensures that growth does not come at the expense of financial integrity.</w:t>
      </w:r>
    </w:p>
    <w:bookmarkEnd w:id="23"/>
    <w:bookmarkStart w:id="24" w:name="X904bbafa93d6cffc9178ed52ad42ebe338e81ff"/>
    <w:p>
      <w:pPr>
        <w:pStyle w:val="Heading2"/>
      </w:pPr>
      <w:r>
        <w:t xml:space="preserve">The Future Outlook: Green Finance and International Integration</w:t>
      </w:r>
    </w:p>
    <w:p>
      <w:pPr>
        <w:pStyle w:val="FirstParagraph"/>
      </w:pPr>
      <w:r>
        <w:t xml:space="preserve">Looking ahead, the role of the banker in China Guangzhou will be increasingly defined by sustainability and international integration. As global markets emphasize environmental, social, and governance (ESG) criteria, local banks are developing green financing products to support sustainable manufacturing and infrastructure projects.</w:t>
      </w:r>
    </w:p>
    <w:p>
      <w:pPr>
        <w:pStyle w:val="BodyText"/>
      </w:pPr>
      <w:r>
        <w:t xml:space="preserve">Furthermore, with the expansion of regional trade agreements like the RCEP (Regional Comprehensive Economic Partnership), bankers will play a pivotal role in facilitating cross-border investments between China Guangzhou and Southeast Asian markets. This requires expertise in foreign exchange risk management, international legal frameworks, and cultural negotiation.</w:t>
      </w:r>
    </w:p>
    <w:bookmarkEnd w:id="24"/>
    <w:bookmarkStart w:id="25" w:name="conclusion"/>
    <w:p>
      <w:pPr>
        <w:pStyle w:val="Heading2"/>
      </w:pPr>
      <w:r>
        <w:t xml:space="preserve">Conclusion</w:t>
      </w:r>
    </w:p>
    <w:p>
      <w:pPr>
        <w:pStyle w:val="FirstParagraph"/>
      </w:pPr>
      <w:r>
        <w:t xml:space="preserve">In conclusion, the banker in China Guangzhou is a dynamic professional whose functions have evolved from simple transaction processing to complex strategic advisory roles. Rooted in centuries of trading history yet propelled by modern technological innovation, this role remains central to the city’s economic vitality. As challenges such as regulatory compliance and digital disruption continue to shape the industry, bankers must adapt with agility and foresight. Ultimately, their ability to bridge traditional commerce with future-oriented financial solutions will determine not only their own success but also the sustained growth of China Guangzhou on the global stage.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Banker in China Guangzhou</dc:title>
  <dc:creator/>
  <dc:language>en</dc:language>
  <cp:keywords/>
  <dcterms:created xsi:type="dcterms:W3CDTF">2026-07-29T19:37:52Z</dcterms:created>
  <dcterms:modified xsi:type="dcterms:W3CDTF">2026-07-29T19:37:52Z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