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Tehran,</w:t>
      </w:r>
      <w:r>
        <w:t xml:space="preserve"> </w:t>
      </w:r>
      <w:r>
        <w:t xml:space="preserve">Iran</w:t>
      </w:r>
    </w:p>
    <w:bookmarkStart w:id="26" w:name="Xef4ebefc9a6dc41ac1661179f94e5cd1f9c3994"/>
    <w:p>
      <w:pPr>
        <w:pStyle w:val="Heading1"/>
      </w:pPr>
      <w:r>
        <w:t xml:space="preserve">The Strategic Pivot: The Modern Banker in the Financial Landscape of Tehran, Iran</w:t>
      </w:r>
    </w:p>
    <w:p>
      <w:pPr>
        <w:pStyle w:val="FirstParagraph"/>
      </w:pPr>
      <w:r>
        <w:t xml:space="preserve">The role of the banker has historically been one of gatekeeping and facilitation, a figure standing at the intersection of capital and community. However, in the specific geopolitical and economic context of Tehran, Iran, this archetype has undergone a profound transformation. The modern banker operating in Tehran is not merely an accountant or a loan officer; they are navigators of complex sanctions regimes, interpreters of Islamic financial jurisprudence (Sharia), and crucial stabilizers in an economy marked by volatility. To understand the contemporary economic engine of Iran, one must examine the unique challenges and responsibilities borne by the banker within the bustling metropolis of Tehran.</w:t>
      </w:r>
    </w:p>
    <w:bookmarkStart w:id="20" w:name="Xbac602b4be9357e63b11e141fc8b12edfcc8709"/>
    <w:p>
      <w:pPr>
        <w:pStyle w:val="Heading2"/>
      </w:pPr>
      <w:r>
        <w:t xml:space="preserve">The Dual Nature: Modernity and Sharia Compliance</w:t>
      </w:r>
    </w:p>
    <w:p>
      <w:pPr>
        <w:pStyle w:val="FirstParagraph"/>
      </w:pPr>
      <w:r>
        <w:t xml:space="preserve">In Western contexts, banking is often viewed through a purely secular, interest-based lens. In contrast, the Iranian banking system in Tehran operates under a dual framework that demands technical financial literacy alongside deep religious compliance. Since the Islamic Revolution of 1979, the elimination of Riba (usury/interest) has necessitated a complete restructuring of financial instruments. The banker in Tehran must be proficient in profit-and-loss sharing models such as Mudarabah and Musharakah, as well as trade-based financing modes like Murabaha (cost-plus financing). This requires a specialized skill set that distinguishes the Iranian banker from their global counterparts. They must constantly innovate within the boundaries of Islamic law to provide competitive financial products that can attract both domestic capital and, increasingly, international partners looking for ethical investment avenues.</w:t>
      </w:r>
    </w:p>
    <w:bookmarkEnd w:id="20"/>
    <w:bookmarkStart w:id="21" w:name="navigating-geopolitical-sanctions"/>
    <w:p>
      <w:pPr>
        <w:pStyle w:val="Heading2"/>
      </w:pPr>
      <w:r>
        <w:t xml:space="preserve">Navigating Geopolitical Sanctions</w:t>
      </w:r>
    </w:p>
    <w:p>
      <w:pPr>
        <w:pStyle w:val="FirstParagraph"/>
      </w:pPr>
      <w:r>
        <w:t xml:space="preserve">The most defining characteristic of banking in Tehran today is the external pressure exerted by international sanctions. For a banker operating in this environment, risk management takes on a geopolitical dimension. Traditional correspondent banking relationships with European and American banks have largely severed, forcing Iranian bankers to rely on alternative networks, barter systems, and regional partnerships with countries such as China and Russia. This isolation has fostered a resilient but complex financial ecosystem within Tehran. Bankers here must possess sophisticated knowledge of international trade law to facilitate exports of goods like pistachios, saffron, and automotive parts while navigating the labyrinthine compliance requirements that remain. They act as diplomatic intermediaries as much as financial experts, ensuring that transactions do not violate secondary sanctions while keeping the supply chains of Tehran functioning.</w:t>
      </w:r>
    </w:p>
    <w:bookmarkEnd w:id="21"/>
    <w:bookmarkStart w:id="22" w:name="Xa70c0c6a3b8817b4ba97081f35188423030ca80"/>
    <w:p>
      <w:pPr>
        <w:pStyle w:val="Heading2"/>
      </w:pPr>
      <w:r>
        <w:t xml:space="preserve">The Digital Transformation and FinTech in Tehran</w:t>
      </w:r>
    </w:p>
    <w:p>
      <w:pPr>
        <w:pStyle w:val="FirstParagraph"/>
      </w:pPr>
      <w:r>
        <w:t xml:space="preserve">Despite these external hurdles, the city of Tehran is witnessing a surge in digital banking adoption. The younger generation, highly educated and tech-savvy, has driven a demand for seamless digital financial services. Bankers in Tehran are now tasked with overseeing the integration of FinTech solutions into traditional banking structures. Mobile payment apps, digital wallets, and online lending platforms have become ubiquitous in the capital. This shift requires bankers to adopt agile methodologies and cybersecurity expertise. The central bank of Iran has been pushing for greater digitization to reduce cash dependency and improve transparency, a move that empowers the banker with better data analytics but also exposes them to new cyber threats. In Tehran, the branch manager is no longer just an administrator but often serves as a tech-support liaison and financial educator for clients transitioning from cash-based economies to digital ledgers.</w:t>
      </w:r>
    </w:p>
    <w:bookmarkEnd w:id="22"/>
    <w:bookmarkStart w:id="23" w:name="X19b2cd392867fbdf2f0fe1e2c9a12d36d0877bd"/>
    <w:p>
      <w:pPr>
        <w:pStyle w:val="Heading2"/>
      </w:pPr>
      <w:r>
        <w:t xml:space="preserve">Social Responsibility and Economic Stabilization</w:t>
      </w:r>
    </w:p>
    <w:p>
      <w:pPr>
        <w:pStyle w:val="FirstParagraph"/>
      </w:pPr>
      <w:r>
        <w:t xml:space="preserve">In the volatile economic climate of Iran, characterized by inflationary pressures and currency fluctuation, the banker in Tehran plays a critical social role. Banks are often seen as one of the few stable institutions remaining amidst broader economic uncertainty. Consequently, bankers bear the burden of public trust. They must manage depositors' fears regarding inflation by offering high-yield savings accounts that theoretically outpace rising prices, although this is a constant balancing act against central bank policies aimed at controlling liquidity. Furthermore, Iranian banks are heavily involved in state-led initiatives to support small and medium-sized enterprises (SMEs). The banker acts as an agent of social welfare, determining which local businesses receive credit to keep employment rates stable in the capital’s industrial zones.</w:t>
      </w:r>
    </w:p>
    <w:bookmarkEnd w:id="23"/>
    <w:bookmarkStart w:id="24" w:name="the-cultural-nuance-of-banking-in-tehran"/>
    <w:p>
      <w:pPr>
        <w:pStyle w:val="Heading2"/>
      </w:pPr>
      <w:r>
        <w:t xml:space="preserve">The Cultural Nuance of Banking in Tehran</w:t>
      </w:r>
    </w:p>
    <w:p>
      <w:pPr>
        <w:pStyle w:val="FirstParagraph"/>
      </w:pPr>
      <w:r>
        <w:t xml:space="preserve">Beyond technical skills, cultural intelligence is paramount for a banker in Tehran. Iranian business culture places a high premium on personal relationships, trust (Amanah), and long-term commitment. A transaction in Tehran is rarely concluded solely on paper; it is cemented by personal rapport and mutual respect. The banker must understand the nuances of Persian etiquette, timing, and negotiation styles. Building a client base requires patience and presence within the community of Tehran, from upscale districts like Elahieh to commercial hubs in downtown areas. This relational approach creates a loyalty that insulates banks somewhat from pure market competition but also demands a high level of ethical integrity.</w:t>
      </w:r>
    </w:p>
    <w:bookmarkEnd w:id="24"/>
    <w:bookmarkStart w:id="25" w:name="conclusion"/>
    <w:p>
      <w:pPr>
        <w:pStyle w:val="Heading2"/>
      </w:pPr>
      <w:r>
        <w:t xml:space="preserve">Conclusion</w:t>
      </w:r>
    </w:p>
    <w:p>
      <w:pPr>
        <w:pStyle w:val="FirstParagraph"/>
      </w:pPr>
      <w:r>
        <w:t xml:space="preserve">In conclusion, the banker in Tehran is a multifaceted professional operating at the crossroads of tradition and modernity, isolation and adaptation. They are custodians of an Islamic financial system that is uniquely adapted to local religious laws while simultaneously grappling with the realities of global sanctions. As Iran continues to seek economic diversification and digital integration, the role of the banker will only expand in complexity and importance. They are not just handlers of money but architects of financial resilience in one of the Middle East’s most significant urban centers. Understanding this dynamic is essential for any external observer or investor looking to engage with the Iranian economy, as it reveals a banking sector that is far more adaptive, complex, and culturally rooted than conventional metrics might suggest.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Tehran, Iran</dc:title>
  <dc:creator/>
  <dc:language>en</dc:language>
  <cp:keywords/>
  <dcterms:created xsi:type="dcterms:W3CDTF">2026-07-29T03:32:50Z</dcterms:created>
  <dcterms:modified xsi:type="dcterms:W3CDTF">2026-07-29T03:32:50Z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