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Iraq</w:t>
      </w:r>
      <w:r>
        <w:t xml:space="preserve"> </w:t>
      </w:r>
      <w:r>
        <w:t xml:space="preserve">Baghdad</w:t>
      </w:r>
    </w:p>
    <w:bookmarkStart w:id="27" w:name="Xb7827a4091801da97efc77a25a9a3f1553d9383"/>
    <w:p>
      <w:pPr>
        <w:pStyle w:val="Heading1"/>
      </w:pPr>
      <w:r>
        <w:t xml:space="preserve">The Strategic Imperative of the Modern Banker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Stakeholders and Policymakers</w:t>
      </w:r>
      <w:r>
        <w:br/>
      </w:r>
      <w:r>
        <w:rPr>
          <w:bCs/>
          <w:b/>
        </w:rPr>
        <w:t xml:space="preserve">From:</w:t>
      </w:r>
      <w:r>
        <w:t xml:space="preserve"> </w:t>
      </w:r>
      <w:r>
        <w:t xml:space="preserve">Economic Analysis Desk</w:t>
      </w:r>
    </w:p>
    <w:bookmarkStart w:id="20" w:name="section"/>
    <w:p>
      <w:pPr>
        <w:pStyle w:val="Heading2"/>
      </w:pPr>
    </w:p>
    <w:p>
      <w:pPr>
        <w:pStyle w:val="FirstParagraph"/>
      </w:pPr>
      <w:r>
        <w:t xml:space="preserve">The city of</w:t>
      </w:r>
      <w:r>
        <w:t xml:space="preserve"> </w:t>
      </w:r>
      <w:r>
        <w:t xml:space="preserve">Iraq Baghdad</w:t>
      </w:r>
      <w:r>
        <w:t xml:space="preserve">serves as the historical, cultural, and economic heart of Iraq. For centuries, it has been a hub of trade and intellectual exchange along the Tigris River. However, in the contemporary era, its role has evolved into a complex financial ecosystem that is critical for the nation's recovery and future stability. At the center of this ecosystem stands the</w:t>
      </w:r>
      <w:r>
        <w:t xml:space="preserve"> </w:t>
      </w:r>
      <w:r>
        <w:t xml:space="preserve">Banker</w:t>
      </w:r>
      <w:r>
        <w:t xml:space="preserve">. Far from being merely custodians of currency or processors of transactions, bankers in Baghdad are becoming pivotal architects of economic resilience. This essay explores the multifaceted role of the banker within this specific geographic and geopolitical context, examining how they navigate challenges, drive digital transformation, and foster social stability in one of the Middle East's most dynamic capitals.</w:t>
      </w:r>
    </w:p>
    <w:bookmarkEnd w:id="20"/>
    <w:bookmarkStart w:id="21" w:name="section-1"/>
    <w:p>
      <w:pPr>
        <w:pStyle w:val="Heading2"/>
      </w:pPr>
    </w:p>
    <w:p>
      <w:pPr>
        <w:pStyle w:val="FirstParagraph"/>
      </w:pPr>
      <w:r>
        <w:t xml:space="preserve">To understand the current position of the banker in Iraq Baghdad, one must acknowledge the historical scars that define its financial landscape. Decades of conflict, sanctions, and political instability have left a legacy of fragmented infrastructure and a population with deep-seated mistrust in formal banking institutions. For many citizens in Baghdad, cash remains king due to perceptions of insecurity and lack of transparency. Consequently, the modern banker faces the monumental task not only of managing assets but also of rebuilding trust.</w:t>
      </w:r>
    </w:p>
    <w:p>
      <w:pPr>
        <w:pStyle w:val="BodyText"/>
      </w:pPr>
      <w:r>
        <w:t xml:space="preserve">In this environment, the banker acts as a bridge between the informal economy and the formal financial sector. In neighborhoods across Baghdad, from Al-Karkh to Al-Rusafa, bankers must engage in community-centric banking models. This involves simplifying account opening procedures, offering micro-financing options for small businesses that drive local commerce, and providing financial literacy education. The banker is no longer just a faceless corporate entity; they are becoming trusted advisors who help Iraqis navigate an uncertain economic future.</w:t>
      </w:r>
    </w:p>
    <w:bookmarkEnd w:id="21"/>
    <w:bookmarkStart w:id="22" w:name="section-2"/>
    <w:p>
      <w:pPr>
        <w:pStyle w:val="Heading2"/>
      </w:pPr>
    </w:p>
    <w:p>
      <w:pPr>
        <w:pStyle w:val="FirstParagraph"/>
      </w:pPr>
      <w:r>
        <w:t xml:space="preserve">A defining characteristic of the contemporary banking sector in Baghdad is the rapid acceleration of digital transformation. The Central Bank of Iraq has been actively promoting a shift towards a cashless society, driven by the need for transparency and efficiency. Here, the role of the banker shifts significantly from traditional ledger-keeping to technology facilitation.</w:t>
      </w:r>
    </w:p>
    <w:p>
      <w:pPr>
        <w:pStyle w:val="BodyText"/>
      </w:pPr>
      <w:r>
        <w:t xml:space="preserve">In major hubs across Iraq Baghdad, bankers are leading the charge in implementing digital payment gateways, mobile banking applications, and online loan processing systems. This digital shift is crucial for financial inclusion. Young entrepreneurs in Baghdad’s burgeoning tech scene require seamless banking solutions to launch startups and attract foreign investment. The banker must possess technological literacy to guide clients through these changes, ensuring that security protocols are robust against cyber threats while maintaining ease of use.</w:t>
      </w:r>
    </w:p>
    <w:p>
      <w:pPr>
        <w:pStyle w:val="BodyText"/>
      </w:pPr>
      <w:r>
        <w:t xml:space="preserve">Moreover, digital banking reduces the operational costs associated with physical cash handling and storage—a significant advantage in a city where logistical challenges can be severe. By embracing fintech partnerships, bankers in Baghdad are creating an ecosystem where small merchants can accept card payments, thereby increasing their revenue and contributing to the formal tax base of the nation.</w:t>
      </w:r>
    </w:p>
    <w:bookmarkEnd w:id="22"/>
    <w:bookmarkStart w:id="23" w:name="section-3"/>
    <w:p>
      <w:pPr>
        <w:pStyle w:val="Heading2"/>
      </w:pPr>
    </w:p>
    <w:p>
      <w:pPr>
        <w:pStyle w:val="FirstParagraph"/>
      </w:pPr>
      <w:r>
        <w:t xml:space="preserve">The economic health of Iraq Baghdad is inextricably linked to the performance of its Small and Medium Enterprises (SMEs). These businesses are vital for job creation, which is essential given the city's young population. However, accessing credit has historically been difficult due to stringent collateral requirements and bureaucratic hurdles. The modern banker must rethink risk assessment models.</w:t>
      </w:r>
    </w:p>
    <w:p>
      <w:pPr>
        <w:pStyle w:val="BodyText"/>
      </w:pPr>
      <w:r>
        <w:t xml:space="preserve">In Iraq Baghdad, innovative bankers are utilizing alternative data sources—such as utility payment histories or supply chain records—to evaluate creditworthiness rather than relying solely on traditional collateral. This approach allows capital to flow more freely to productive sectors of the economy, such as construction, retail, and technology. By financing infrastructure projects that rebuild roads, schools, and hospitals in Baghdad’s expanding districts, bankers are directly contributing to the physical reconstruction of the city.</w:t>
      </w:r>
    </w:p>
    <w:p>
      <w:pPr>
        <w:pStyle w:val="BodyText"/>
      </w:pPr>
      <w:r>
        <w:t xml:space="preserve">Furthermore, there is a growing emphasis on sustainable finance. As Iraq seeks to diversify its economy beyond oil dependence—oil being the primary driver of Baghdad’s budget—bankers are increasingly involved in green financing initiatives. This includes funding solar energy projects and water management systems, which are critical for the sustainability of life in Baghdad’s hot climate.</w:t>
      </w:r>
    </w:p>
    <w:bookmarkEnd w:id="23"/>
    <w:bookmarkStart w:id="24" w:name="section-4"/>
    <w:p>
      <w:pPr>
        <w:pStyle w:val="Heading2"/>
      </w:pPr>
    </w:p>
    <w:p>
      <w:pPr>
        <w:pStyle w:val="FirstParagraph"/>
      </w:pPr>
      <w:r>
        <w:t xml:space="preserve">The operational environment for any banker in Iraq Baghdad is fraught with regulatory complexities. The banking sector must comply with strict anti-money laundering (AML) and counter-terrorism financing (CTF) regulations set by both domestic authorities and international bodies like the Financial Action Task Force (FATF). Compliance is not just a legal requirement; it is a strategic necessity for integrating Iraqi banks into the global financial system.</w:t>
      </w:r>
    </w:p>
    <w:p>
      <w:pPr>
        <w:pStyle w:val="BodyText"/>
      </w:pPr>
      <w:r>
        <w:t xml:space="preserve">Bankers in Baghdad must possess a nuanced understanding of geopolitical risks. The city sits at the center of regional tensions that can impact currency stability, cross-border trade, and investor confidence. Therefore, risk management is paramount. Bankers must hedge against currency fluctuations between the Iraqi Dinar and major reserve currencies like the US Dollar or Euro. They serve as stabilizers during periods of market volatility, ensuring that depositors’ funds remain secure even when macroeconomic conditions are turbulent.</w:t>
      </w:r>
    </w:p>
    <w:bookmarkEnd w:id="24"/>
    <w:bookmarkStart w:id="25" w:name="section-5"/>
    <w:p>
      <w:pPr>
        <w:pStyle w:val="Heading2"/>
      </w:pPr>
    </w:p>
    <w:p>
      <w:pPr>
        <w:pStyle w:val="FirstParagraph"/>
      </w:pPr>
      <w:r>
        <w:t xml:space="preserve">Beyond profit margins and regulatory compliance, the banker in Iraq Baghdad carries a profound social responsibility. In a society recovering from decades of strife, financial institutions play a key role in fostering social cohesion. This is achieved through Corporate Social Responsibility (CSR) initiatives that support education, healthcare, and disaster relief efforts.</w:t>
      </w:r>
    </w:p>
    <w:p>
      <w:pPr>
        <w:pStyle w:val="BodyText"/>
      </w:pPr>
      <w:r>
        <w:t xml:space="preserve">For instance, banks frequently partner with local charities to provide scholarships for students from disadvantaged backgrounds in Baghdad. They also offer interest-free loans compliant with Islamic Banking principles during religious months like Ramadan, catering to the cultural and religious preferences of the majority Muslim population. By aligning financial products with local values, bankers strengthen their brand loyalty and contribute to the moral fabric of Iraqi society.</w:t>
      </w:r>
    </w:p>
    <w:bookmarkEnd w:id="25"/>
    <w:bookmarkStart w:id="26" w:name="section-6"/>
    <w:p>
      <w:pPr>
        <w:pStyle w:val="Heading2"/>
      </w:pPr>
    </w:p>
    <w:p>
      <w:pPr>
        <w:pStyle w:val="FirstParagraph"/>
      </w:pPr>
      <w:r>
        <w:t xml:space="preserve">In conclusion, the role of the banker in Iraq Baghdad has transcended traditional boundaries. Today’s banker is a technologist, a risk manager, a social advocate, and an economic enabler. They operate in one of the most challenging yet promising financial landscapes in the world. As Iraq Baghdad continues to evolve from a city of reconstruction to a hub of regional trade and innovation, the banker will remain at the forefront.</w:t>
      </w:r>
    </w:p>
    <w:p>
      <w:pPr>
        <w:pStyle w:val="BodyText"/>
      </w:pPr>
      <w:r>
        <w:t xml:space="preserve">The future success of Iraq’s economy depends on robust, transparent, and inclusive banking systems. Bankers who embrace digital innovation, support SME growth, adhere to international standards, and engage deeply with their communities will be instrumental in shaping a stable and prosperous Baghdad. They are not just managing money; they are financing the dreams of a nation striving for peace and progress. The modern banker in Iraq Baghdad is thus an essential architect of the country’s new reality.</w:t>
      </w:r>
    </w:p>
    <w:p>
      <w:pPr>
        <w:pStyle w:val="BodyText"/>
      </w:pPr>
      <w:r>
        <w:t xml:space="preserve">© 2023 Economic Analysis Desk | Special Report on Regional Banking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Iraq Baghdad</dc:title>
  <dc:creator/>
  <dc:language>en</dc:language>
  <cp:keywords/>
  <dcterms:created xsi:type="dcterms:W3CDTF">2026-07-29T16:06:14Z</dcterms:created>
  <dcterms:modified xsi:type="dcterms:W3CDTF">2026-07-29T16:06:14Z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