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5d97e5992658c76271118ab40b40fd169937589"/>
    <w:p>
      <w:pPr>
        <w:pStyle w:val="Heading1"/>
      </w:pPr>
      <w:r>
        <w:t xml:space="preserve">The Strategic Role of the Banker in the United Arab Emirates Abu Dhabi</w:t>
      </w:r>
    </w:p>
    <w:p>
      <w:pPr>
        <w:pStyle w:val="FirstParagraph"/>
      </w:pPr>
      <w:r>
        <w:t xml:space="preserve">In the rapidly evolving landscape of global finance, few regions command as much attention and strategic importance as the Middle East. Within this geopolitical sphere, no city exemplifies economic dynamism quite like</w:t>
      </w:r>
      <w:r>
        <w:t xml:space="preserve"> </w:t>
      </w:r>
      <w:r>
        <w:t xml:space="preserve">United Arab Emirates Abu Dhabi</w:t>
      </w:r>
      <w:r>
        <w:t xml:space="preserve">. As the capital and largest emirate of the federation, Abu Dhabi has transitioned from a petro-state reliant solely on oil revenues to a diversified global hub for finance, tourism, and technology. Central to this transformation is the figure of the</w:t>
      </w:r>
      <w:r>
        <w:t xml:space="preserve"> </w:t>
      </w:r>
      <w:r>
        <w:t xml:space="preserve">Banker</w:t>
      </w:r>
      <w:r>
        <w:t xml:space="preserve">. In this context, being a</w:t>
      </w:r>
      <w:r>
        <w:t xml:space="preserve"> </w:t>
      </w:r>
      <w:r>
        <w:t xml:space="preserve">Banker</w:t>
      </w:r>
      <w:r>
        <w:t xml:space="preserve"> </w:t>
      </w:r>
      <w:r>
        <w:t xml:space="preserve">is not merely about managing ledgers or processing transactions; it is about acting as a custodian of national vision, a facilitator of sustainable growth, and an architect of financial stability. This essay explores the multifaceted role of the</w:t>
      </w:r>
      <w:r>
        <w:t xml:space="preserve"> </w:t>
      </w:r>
      <w:r>
        <w:t xml:space="preserve">Banker</w:t>
      </w:r>
      <w:r>
        <w:t xml:space="preserve"> </w:t>
      </w:r>
      <w:r>
        <w:t xml:space="preserve">within the unique ecosystem of</w:t>
      </w:r>
      <w:r>
        <w:t xml:space="preserve"> </w:t>
      </w:r>
      <w:r>
        <w:t xml:space="preserve">United Arab Emirates Abu Dhabi</w:t>
      </w:r>
      <w:r>
        <w:t xml:space="preserve">, examining how traditional banking principles are being reshaped by digital innovation, Islamic finance paradigms, and rigorous regulatory frameworks.</w:t>
      </w:r>
    </w:p>
    <w:bookmarkStart w:id="20" w:name="X9caa29bf49a6d142f3689c4f6eb64ea89abd27d"/>
    <w:p>
      <w:pPr>
        <w:pStyle w:val="Heading2"/>
      </w:pPr>
      <w:r>
        <w:t xml:space="preserve">The Evolution of Banking in Abu Dhabi: From Oil to Diversification</w:t>
      </w:r>
    </w:p>
    <w:p>
      <w:pPr>
        <w:pStyle w:val="FirstParagraph"/>
      </w:pPr>
      <w:r>
        <w:t xml:space="preserve">To understand the contemporary role of the</w:t>
      </w:r>
      <w:r>
        <w:t xml:space="preserve"> </w:t>
      </w:r>
      <w:r>
        <w:t xml:space="preserve">Banker</w:t>
      </w:r>
      <w:r>
        <w:t xml:space="preserve">, one must first appreciate the historical trajectory of the region. For decades, wealth in</w:t>
      </w:r>
      <w:r>
        <w:t xml:space="preserve"> </w:t>
      </w:r>
      <w:r>
        <w:t xml:space="preserve">United Arab Emirates Abu Dhabi</w:t>
      </w:r>
      <w:r>
        <w:t xml:space="preserve"> </w:t>
      </w:r>
      <w:r>
        <w:t xml:space="preserve">was synonymous with hydrocarbon reserves. However, visionary leadership recognized early on that reliance on a single commodity posed significant long-term risks. This realization sparked an aggressive diversification strategy known as "Vision 2030" (and later updates), aimed at creating a knowledge-based economy. In this transition, the</w:t>
      </w:r>
      <w:r>
        <w:t xml:space="preserve"> </w:t>
      </w:r>
      <w:r>
        <w:t xml:space="preserve">Banker</w:t>
      </w:r>
      <w:r>
        <w:t xml:space="preserve"> </w:t>
      </w:r>
      <w:r>
        <w:t xml:space="preserve">emerged as a critical catalyst.</w:t>
      </w:r>
    </w:p>
    <w:p>
      <w:pPr>
        <w:pStyle w:val="BodyText"/>
      </w:pPr>
      <w:r>
        <w:t xml:space="preserve">The modern</w:t>
      </w:r>
      <w:r>
        <w:t xml:space="preserve"> </w:t>
      </w:r>
      <w:r>
        <w:t xml:space="preserve">Banker</w:t>
      </w:r>
      <w:r>
        <w:t xml:space="preserve"> </w:t>
      </w:r>
      <w:r>
        <w:t xml:space="preserve">in Abu Dhabi is tasked with channeling capital away from purely extractive industries and toward sectors such as renewable energy, aerospace, healthcare, and digital infrastructure. This requires a profound shift in mindset. The traditional commercial</w:t>
      </w:r>
      <w:r>
        <w:t xml:space="preserve"> </w:t>
      </w:r>
      <w:r>
        <w:t xml:space="preserve">Banker</w:t>
      </w:r>
      <w:r>
        <w:t xml:space="preserve">, who may have focused primarily on short-term liquidity and collateral-based lending, must now evolve into a strategic partner for government entities (GEMs) and private enterprises alike. They must possess the expertise to structure complex financing deals for mega-projects like the Saadiyat Island cultural district or the Masdar City sustainable energy hub. Thus, the</w:t>
      </w:r>
      <w:r>
        <w:t xml:space="preserve"> </w:t>
      </w:r>
      <w:r>
        <w:t xml:space="preserve">Banker</w:t>
      </w:r>
      <w:r>
        <w:t xml:space="preserve"> </w:t>
      </w:r>
      <w:r>
        <w:t xml:space="preserve">becomes an integral component of state policy implementation, ensuring that financial resources align with national strategic goals.</w:t>
      </w:r>
    </w:p>
    <w:bookmarkEnd w:id="20"/>
    <w:bookmarkStart w:id="21" w:name="X72be5428a3c01104cd93513a664b6d26ffc4bf4"/>
    <w:p>
      <w:pPr>
        <w:pStyle w:val="Heading2"/>
      </w:pPr>
      <w:r>
        <w:t xml:space="preserve">The Intersection of Tradition and Modernity: Islamic Finance</w:t>
      </w:r>
    </w:p>
    <w:p>
      <w:pPr>
        <w:pStyle w:val="FirstParagraph"/>
      </w:pPr>
      <w:r>
        <w:t xml:space="preserve">A defining characteristic of banking in the Gulf region is the prominence of Islamic Finance. In</w:t>
      </w:r>
      <w:r>
        <w:t xml:space="preserve"> </w:t>
      </w:r>
      <w:r>
        <w:t xml:space="preserve">United Arab Emirates Abu Dhabi</w:t>
      </w:r>
      <w:r>
        <w:t xml:space="preserve">, the principles of Sharia law permeate financial products, requiring bankers to navigate a complex web of ethical and religious constraints. For the</w:t>
      </w:r>
      <w:r>
        <w:t xml:space="preserve"> </w:t>
      </w:r>
      <w:r>
        <w:t xml:space="preserve">Banker</w:t>
      </w:r>
      <w:r>
        <w:t xml:space="preserve"> </w:t>
      </w:r>
      <w:r>
        <w:t xml:space="preserve">operating in this jurisdiction, proficiency in Islamic finance is not optional; it is a core competency. This involves understanding instruments such as Murabaha (cost-plus financing), Ijara (leasing), and Sukuk (Islamic bonds).</w:t>
      </w:r>
    </w:p>
    <w:p>
      <w:pPr>
        <w:pStyle w:val="BodyText"/>
      </w:pPr>
      <w:r>
        <w:t xml:space="preserve">The role of the</w:t>
      </w:r>
      <w:r>
        <w:t xml:space="preserve"> </w:t>
      </w:r>
      <w:r>
        <w:t xml:space="preserve">Banker</w:t>
      </w:r>
      <w:r>
        <w:t xml:space="preserve"> </w:t>
      </w:r>
      <w:r>
        <w:t xml:space="preserve">here extends beyond technical knowledge to include cultural sensitivity and ethical stewardship. Islamic finance emphasizes risk-sharing, asset-backing, and the prohibition of riba (interest) and gharar (excessive uncertainty). Consequently, a skilled</w:t>
      </w:r>
      <w:r>
        <w:t xml:space="preserve"> </w:t>
      </w:r>
      <w:r>
        <w:t xml:space="preserve">Banker</w:t>
      </w:r>
      <w:r>
        <w:t xml:space="preserve"> </w:t>
      </w:r>
      <w:r>
        <w:t xml:space="preserve">in Abu Dhabi must be adept at structuring products that satisfy both regulatory compliance with the Central Bank of the UAE and the spiritual expectations of clients. This duality enhances the global reputation of Abu Dhabi as a leader in ethical banking, attracting international investors who seek stability and moral integrity in their financial dealings. The</w:t>
      </w:r>
      <w:r>
        <w:t xml:space="preserve"> </w:t>
      </w:r>
      <w:r>
        <w:t xml:space="preserve">Banker</w:t>
      </w:r>
      <w:r>
        <w:t xml:space="preserve"> </w:t>
      </w:r>
      <w:r>
        <w:t xml:space="preserve">thus acts as a bridge between traditional values and modern financial markets.</w:t>
      </w:r>
    </w:p>
    <w:bookmarkEnd w:id="21"/>
    <w:bookmarkStart w:id="22" w:name="Xbc1d47106519f80c3edd7c27af21b4cf818660a"/>
    <w:p>
      <w:pPr>
        <w:pStyle w:val="Heading2"/>
      </w:pPr>
      <w:r>
        <w:t xml:space="preserve">Digital Transformation and FinTech Integration</w:t>
      </w:r>
    </w:p>
    <w:p>
      <w:pPr>
        <w:pStyle w:val="FirstParagraph"/>
      </w:pPr>
      <w:r>
        <w:t xml:space="preserve">The third pillar of the contemporary banking landscape in Abu Dhabi is digital transformation. The UAE has positioned itself as a global leader in government digitalization, and its banking sector is no exception. For the</w:t>
      </w:r>
      <w:r>
        <w:t xml:space="preserve"> </w:t>
      </w:r>
      <w:r>
        <w:t xml:space="preserve">Banker</w:t>
      </w:r>
      <w:r>
        <w:t xml:space="preserve">, this presents both a challenge and an opportunity. Legacy systems are being replaced by cloud-based infrastructures, artificial intelligence (AI) for credit scoring, and blockchain technology for secure transactions.</w:t>
      </w:r>
    </w:p>
    <w:p>
      <w:pPr>
        <w:pStyle w:val="BodyText"/>
      </w:pPr>
      <w:r>
        <w:t xml:space="preserve">In</w:t>
      </w:r>
      <w:r>
        <w:t xml:space="preserve"> </w:t>
      </w:r>
      <w:r>
        <w:t xml:space="preserve">United Arab Emirates Abu Dhabi</w:t>
      </w:r>
      <w:r>
        <w:t xml:space="preserve">, the rise of FinTech startups has disrupted traditional banking models. The modern</w:t>
      </w:r>
      <w:r>
        <w:t xml:space="preserve"> </w:t>
      </w:r>
      <w:r>
        <w:t xml:space="preserve">Banker</w:t>
      </w:r>
      <w:r>
        <w:t xml:space="preserve"> </w:t>
      </w:r>
      <w:r>
        <w:t xml:space="preserve">must collaborate with these agile innovators rather than view them as threats. This involves fostering open banking ecosystems, where data can be shared securely between financial institutions and third-party providers to enhance customer experience. For instance, digital wallets and seamless cross-border payments are becoming standard expectations for consumers in Abu Dhabi. A forward-thinking</w:t>
      </w:r>
      <w:r>
        <w:t xml:space="preserve"> </w:t>
      </w:r>
      <w:r>
        <w:t xml:space="preserve">Banker</w:t>
      </w:r>
      <w:r>
        <w:t xml:space="preserve"> </w:t>
      </w:r>
      <w:r>
        <w:t xml:space="preserve">must leverage these technologies to reduce operational costs, improve fraud detection, and provide personalized financial advice through data analytics.</w:t>
      </w:r>
    </w:p>
    <w:p>
      <w:pPr>
        <w:pStyle w:val="BodyText"/>
      </w:pPr>
      <w:r>
        <w:t xml:space="preserve">Furthermore, the adoption of digital currencies and central bank digital currencies (CBDCs) is under active exploration by the Central Bank of the UAE. The</w:t>
      </w:r>
      <w:r>
        <w:t xml:space="preserve"> </w:t>
      </w:r>
      <w:r>
        <w:t xml:space="preserve">Banker</w:t>
      </w:r>
      <w:r>
        <w:t xml:space="preserve"> </w:t>
      </w:r>
      <w:r>
        <w:t xml:space="preserve">in Abu Dhabi must stay ahead of this curve, understanding the implications for monetary policy and cross-border trade. Those who fail to adapt risk obsolescence, while those who embrace these changes position themselves as leaders in a cashless society.</w:t>
      </w:r>
    </w:p>
    <w:bookmarkEnd w:id="22"/>
    <w:bookmarkStart w:id="23" w:name="X101ecc4296dd6393e0a669a519e77b87c8106e0"/>
    <w:p>
      <w:pPr>
        <w:pStyle w:val="Heading2"/>
      </w:pPr>
      <w:r>
        <w:t xml:space="preserve">Regulatory Compliance and Risk Management</w:t>
      </w:r>
    </w:p>
    <w:p>
      <w:pPr>
        <w:pStyle w:val="FirstParagraph"/>
      </w:pPr>
      <w:r>
        <w:t xml:space="preserve">No discussion of banking in Abu Dhabi is complete without addressing the stringent regulatory environment. The Central Bank of the UAE maintains robust frameworks to ensure financial stability, combat money laundering (AML), and counter terrorist financing (CFT). For the</w:t>
      </w:r>
      <w:r>
        <w:t xml:space="preserve"> </w:t>
      </w:r>
      <w:r>
        <w:t xml:space="preserve">Banker</w:t>
      </w:r>
      <w:r>
        <w:t xml:space="preserve">, compliance is not just a bureaucratic hurdle; it is a fundamental aspect of their professional identity.</w:t>
      </w:r>
    </w:p>
    <w:p>
      <w:pPr>
        <w:pStyle w:val="BodyText"/>
      </w:pPr>
      <w:r>
        <w:t xml:space="preserve">In</w:t>
      </w:r>
      <w:r>
        <w:t xml:space="preserve"> </w:t>
      </w:r>
      <w:r>
        <w:t xml:space="preserve">United Arab Emirates Abu Dhabi</w:t>
      </w:r>
      <w:r>
        <w:t xml:space="preserve">, the reputation of financial institutions relies heavily on their adherence to international standards. The</w:t>
      </w:r>
      <w:r>
        <w:t xml:space="preserve"> </w:t>
      </w:r>
      <w:r>
        <w:t xml:space="preserve">Banker</w:t>
      </w:r>
      <w:r>
        <w:t xml:space="preserve"> </w:t>
      </w:r>
      <w:r>
        <w:t xml:space="preserve">must exercise due diligence in Know Your Customer (KYC) procedures, ensuring that all transactions are transparent and legitimate. This rigorous approach has helped Abu Dhabi shed any past perceptions of opacity, establishing it as a premier global financial center comparable to London or New York. Moreover, the</w:t>
      </w:r>
      <w:r>
        <w:t xml:space="preserve"> </w:t>
      </w:r>
      <w:r>
        <w:t xml:space="preserve">Banker</w:t>
      </w:r>
      <w:r>
        <w:t xml:space="preserve"> </w:t>
      </w:r>
      <w:r>
        <w:t xml:space="preserve">must manage risks associated with geopolitical volatility in the broader Middle East region. By maintaining strong capital buffers and diversified portfolios, bankers contribute to the resilience of the national economy against external shocks.</w:t>
      </w:r>
    </w:p>
    <w:bookmarkEnd w:id="23"/>
    <w:bookmarkStart w:id="24" w:name="X0585464cbee4a02db77620e7893d9a486cc0703"/>
    <w:p>
      <w:pPr>
        <w:pStyle w:val="Heading2"/>
      </w:pPr>
      <w:r>
        <w:t xml:space="preserve">Social Responsibility and National Identity</w:t>
      </w:r>
    </w:p>
    <w:p>
      <w:pPr>
        <w:pStyle w:val="FirstParagraph"/>
      </w:pPr>
      <w:r>
        <w:t xml:space="preserve">Finally, the role of the</w:t>
      </w:r>
      <w:r>
        <w:t xml:space="preserve"> </w:t>
      </w:r>
      <w:r>
        <w:t xml:space="preserve">Banker</w:t>
      </w:r>
      <w:r>
        <w:t xml:space="preserve"> </w:t>
      </w:r>
      <w:r>
        <w:t xml:space="preserve">in Abu Dhabi is deeply intertwined with social responsibility. The UAE places a high value on community welfare and national unity. Banks are expected to support financial inclusion, providing services to unbanked populations and small-to-medium enterprises (SMEs) that drive job creation.</w:t>
      </w:r>
    </w:p>
    <w:p>
      <w:pPr>
        <w:pStyle w:val="BodyText"/>
      </w:pPr>
      <w:r>
        <w:t xml:space="preserve">In this context, the</w:t>
      </w:r>
      <w:r>
        <w:t xml:space="preserve"> </w:t>
      </w:r>
      <w:r>
        <w:t xml:space="preserve">Banker</w:t>
      </w:r>
      <w:r>
        <w:t xml:space="preserve"> </w:t>
      </w:r>
      <w:r>
        <w:t xml:space="preserve">serves as a guardian of social stability. By offering affordable mortgages, education loans, and microfinance options, they empower citizens to achieve homeownership and higher education goals. This aligns with the broader social contract in the UAE, where financial prosperity is viewed as a means to enhance quality of life. The</w:t>
      </w:r>
      <w:r>
        <w:t xml:space="preserve"> </w:t>
      </w:r>
      <w:r>
        <w:t xml:space="preserve">Banker</w:t>
      </w:r>
      <w:r>
        <w:t xml:space="preserve"> </w:t>
      </w:r>
      <w:r>
        <w:t xml:space="preserve">thus plays a pivotal role in maintaining the high standard of living that defines</w:t>
      </w:r>
      <w:r>
        <w:t xml:space="preserve"> </w:t>
      </w:r>
      <w:r>
        <w:t xml:space="preserve">United Arab Emirates Abu Dhabi</w:t>
      </w:r>
      <w:r>
        <w:t xml:space="preserve">.</w:t>
      </w:r>
    </w:p>
    <w:bookmarkEnd w:id="24"/>
    <w:bookmarkStart w:id="25" w:name="conclusion"/>
    <w:p>
      <w:pPr>
        <w:pStyle w:val="Heading2"/>
      </w:pPr>
      <w:r>
        <w:t xml:space="preserve">Conclusion</w:t>
      </w:r>
    </w:p>
    <w:p>
      <w:pPr>
        <w:pStyle w:val="FirstParagraph"/>
      </w:pPr>
      <w:r>
        <w:t xml:space="preserve">In conclusion, the identity of the</w:t>
      </w:r>
      <w:r>
        <w:t xml:space="preserve"> </w:t>
      </w:r>
      <w:r>
        <w:t xml:space="preserve">Banker</w:t>
      </w:r>
      <w:r>
        <w:t xml:space="preserve"> </w:t>
      </w:r>
      <w:r>
        <w:t xml:space="preserve">in this era is far more complex than traditional definitions allow. Within the vibrant and strategic environment of</w:t>
      </w:r>
      <w:r>
        <w:t xml:space="preserve"> </w:t>
      </w:r>
      <w:r>
        <w:t xml:space="preserve">United Arab Emirates Abu Dhabi</w:t>
      </w:r>
      <w:r>
        <w:t xml:space="preserve">, being a</w:t>
      </w:r>
      <w:r>
        <w:t xml:space="preserve"> </w:t>
      </w:r>
      <w:r>
        <w:t xml:space="preserve">Banker</w:t>
      </w:r>
      <w:r>
        <w:t xml:space="preserve"> </w:t>
      </w:r>
      <w:r>
        <w:t xml:space="preserve">requires a synthesis of diverse skills: economic acumen, cultural intelligence, technological fluency, and unwavering ethical commitment. As Abu Dhabi continues its journey toward becoming a global hub for knowledge and innovation, the</w:t>
      </w:r>
      <w:r>
        <w:t xml:space="preserve"> </w:t>
      </w:r>
      <w:r>
        <w:t xml:space="preserve">Banker</w:t>
      </w:r>
      <w:r>
        <w:t xml:space="preserve"> </w:t>
      </w:r>
      <w:r>
        <w:t xml:space="preserve">will remain at the forefront of this transformation. They are not merely custodians of wealth but architects of progress, ensuring that the financial sector serves as a robust engine for sustainable development. Whether navigating Islamic finance intricacies, leveraging AI-driven insights, or adhering to strict regulatory standards, the</w:t>
      </w:r>
      <w:r>
        <w:t xml:space="preserve"> </w:t>
      </w:r>
      <w:r>
        <w:t xml:space="preserve">Banker</w:t>
      </w:r>
      <w:r>
        <w:t xml:space="preserve"> </w:t>
      </w:r>
      <w:r>
        <w:t xml:space="preserve">in Abu Dhabi embodies the spirit of resilience and ambition that defines the region. As we look to the future, it is clear that the synergy between skilled financial professionals and a visionary city will continue to shape a prosperous legacy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Banker in the United Arab Emirates Abu Dhabi</dc:title>
  <dc:creator/>
  <dc:language>en</dc:language>
  <cp:keywords/>
  <dcterms:created xsi:type="dcterms:W3CDTF">2026-07-29T23:11:39Z</dcterms:created>
  <dcterms:modified xsi:type="dcterms:W3CDTF">2026-07-29T23:11:39Z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