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Germany:</w:t>
      </w:r>
      <w:r>
        <w:t xml:space="preserve"> </w:t>
      </w:r>
      <w:r>
        <w:t xml:space="preserve">Frankfurt</w:t>
      </w:r>
      <w:r>
        <w:t xml:space="preserve"> </w:t>
      </w:r>
      <w:r>
        <w:t xml:space="preserve">as</w:t>
      </w:r>
      <w:r>
        <w:t xml:space="preserve"> </w:t>
      </w:r>
      <w:r>
        <w:t xml:space="preserve">a</w:t>
      </w:r>
      <w:r>
        <w:t xml:space="preserve"> </w:t>
      </w:r>
      <w:r>
        <w:t xml:space="preserve">Nexus</w:t>
      </w:r>
      <w:r>
        <w:t xml:space="preserve"> </w:t>
      </w:r>
      <w:r>
        <w:t xml:space="preserve">of</w:t>
      </w:r>
      <w:r>
        <w:t xml:space="preserve"> </w:t>
      </w:r>
      <w:r>
        <w:t xml:space="preserve">Global</w:t>
      </w:r>
      <w:r>
        <w:t xml:space="preserve"> </w:t>
      </w:r>
      <w:r>
        <w:t xml:space="preserve">Finance</w:t>
      </w:r>
      <w:r>
        <w:t xml:space="preserve"> </w:t>
      </w:r>
      <w:r>
        <w:t xml:space="preserve">and</w:t>
      </w:r>
      <w:r>
        <w:t xml:space="preserve"> </w:t>
      </w:r>
      <w:r>
        <w:t xml:space="preserve">Policy</w:t>
      </w:r>
    </w:p>
    <w:bookmarkStart w:id="25" w:name="the-economist-in-germany-frankfurt"/>
    <w:p>
      <w:pPr>
        <w:pStyle w:val="Heading1"/>
      </w:pPr>
      <w:r>
        <w:t xml:space="preserve">The Economist in Germany Frankfurt</w:t>
      </w:r>
    </w:p>
    <w:p>
      <w:pPr>
        <w:pStyle w:val="FirstParagraph"/>
      </w:pPr>
      <w:r>
        <w:t xml:space="preserve">In the complex tapestry of global financial centers, few cities embody the intersection of rigorous academic theory and practical market application as vividly as</w:t>
      </w:r>
      <w:r>
        <w:t xml:space="preserve"> </w:t>
      </w:r>
      <w:r>
        <w:t xml:space="preserve">Germany Frankfurt</w:t>
      </w:r>
      <w:r>
        <w:t xml:space="preserve">. For the modern</w:t>
      </w:r>
      <w:r>
        <w:t xml:space="preserve"> </w:t>
      </w:r>
      <w:r>
        <w:t xml:space="preserve">Economist</w:t>
      </w:r>
      <w:r>
        <w:t xml:space="preserve">, this city is not merely a geographic location but a living laboratory where macroeconomic policies are tested, financial instruments are traded, and regulatory frameworks are shaped. To understand the role of an</w:t>
      </w:r>
      <w:r>
        <w:t xml:space="preserve"> </w:t>
      </w:r>
      <w:r>
        <w:rPr>
          <w:bCs/>
          <w:b/>
        </w:rPr>
        <w:t xml:space="preserve">Economist</w:t>
      </w:r>
      <w:r>
        <w:t xml:space="preserve"> </w:t>
      </w:r>
      <w:r>
        <w:t xml:space="preserve">in this specific context requires an exploration of the unique symbiosis between academic rigor, central banking authority, and international commerce that defines Frankfurt am Main.</w:t>
      </w:r>
    </w:p>
    <w:bookmarkStart w:id="20" w:name="Xea2cdc0748c94d19cb88dbf59335ae577ff791b"/>
    <w:p>
      <w:pPr>
        <w:pStyle w:val="Heading2"/>
      </w:pPr>
      <w:r>
        <w:t xml:space="preserve">The Academic Foundation: Goethe University and Research Institutes</w:t>
      </w:r>
    </w:p>
    <w:p>
      <w:pPr>
        <w:pStyle w:val="FirstParagraph"/>
      </w:pPr>
      <w:r>
        <w:t xml:space="preserve">The foundation of any robust economic analysis rests upon solid theoretical grounding. In</w:t>
      </w:r>
      <w:r>
        <w:t xml:space="preserve"> </w:t>
      </w:r>
      <w:r>
        <w:t xml:space="preserve">Germany Frankfurt</w:t>
      </w:r>
      <w:r>
        <w:t xml:space="preserve">, this is exemplified by the presence of prestigious institutions such as Goethe University Frankfurt and the Institute for Advanced Study. For an</w:t>
      </w:r>
      <w:r>
        <w:t xml:space="preserve"> </w:t>
      </w:r>
      <w:r>
        <w:rPr>
          <w:bCs/>
          <w:b/>
        </w:rPr>
        <w:t xml:space="preserve">Economist</w:t>
      </w:r>
      <w:r>
        <w:t xml:space="preserve"> </w:t>
      </w:r>
      <w:r>
        <w:t xml:space="preserve">operating in this ecosystem, these institutions provide more than just educational credentials; they offer a continuous dialogue with leading minds in monetary theory, international finance, and behavioral economics. The intellectual climate here encourages a blend of German ordoliberal traditions—which emphasize the role of the state in ensuring fair competition—with mainstream Anglo-Saxon econometric modeling. This dual heritage allows an</w:t>
      </w:r>
      <w:r>
        <w:t xml:space="preserve"> </w:t>
      </w:r>
      <w:r>
        <w:rPr>
          <w:bCs/>
          <w:b/>
        </w:rPr>
        <w:t xml:space="preserve">Economist</w:t>
      </w:r>
      <w:r>
        <w:t xml:space="preserve"> </w:t>
      </w:r>
      <w:r>
        <w:t xml:space="preserve">to approach problems with both ethical consideration and quantitative precision.</w:t>
      </w:r>
    </w:p>
    <w:p>
      <w:pPr>
        <w:pStyle w:val="BodyText"/>
      </w:pPr>
      <w:r>
        <w:t xml:space="preserve">Furthermore, Frankfurt serves as a hub for think tanks and policy research groups that bridge the gap between academia and government. An</w:t>
      </w:r>
      <w:r>
        <w:t xml:space="preserve"> </w:t>
      </w:r>
      <w:r>
        <w:rPr>
          <w:bCs/>
          <w:b/>
        </w:rPr>
        <w:t xml:space="preserve">Economist</w:t>
      </w:r>
      <w:r>
        <w:t xml:space="preserve"> </w:t>
      </w:r>
      <w:r>
        <w:t xml:space="preserve">in this city often finds themselves publishing in journals that influence not just local policy but broader European Union regulations. The proximity to the German Ministry of Finance means that theoretical models developed in university seminars can quickly transition into real-world policy proposals, a dynamic rarely seen with such immediacy in other global cities.</w:t>
      </w:r>
    </w:p>
    <w:bookmarkEnd w:id="20"/>
    <w:bookmarkStart w:id="21" w:name="Xbadebee52999ea2b8e53367054f38e9a673ce89"/>
    <w:p>
      <w:pPr>
        <w:pStyle w:val="Heading2"/>
      </w:pPr>
      <w:r>
        <w:t xml:space="preserve">The Financial Powerhouse: A Market for Applied Economics</w:t>
      </w:r>
    </w:p>
    <w:p>
      <w:pPr>
        <w:pStyle w:val="FirstParagraph"/>
      </w:pPr>
      <w:r>
        <w:t xml:space="preserve">If the universities provide the theory, the financial district of</w:t>
      </w:r>
      <w:r>
        <w:t xml:space="preserve"> </w:t>
      </w:r>
      <w:r>
        <w:t xml:space="preserve">Germany Frankfurt</w:t>
      </w:r>
      <w:r>
        <w:t xml:space="preserve">, often referred to as "Mainhattan," provides the practice. As one of Europe’s leading financial centers and home to major banks such as Deutsche Bank, Commerzbank, and numerous international investment firms, Frankfurt offers an unparalleled environment for an</w:t>
      </w:r>
      <w:r>
        <w:t xml:space="preserve"> </w:t>
      </w:r>
      <w:r>
        <w:rPr>
          <w:bCs/>
          <w:b/>
        </w:rPr>
        <w:t xml:space="preserve">Economist</w:t>
      </w:r>
      <w:r>
        <w:t xml:space="preserve"> </w:t>
      </w:r>
      <w:r>
        <w:t xml:space="preserve">specializing in market dynamics. Here, economists are not merely observers; they are active participants in pricing assets, managing risk, and forecasting liquidity trends.</w:t>
      </w:r>
    </w:p>
    <w:p>
      <w:pPr>
        <w:pStyle w:val="BodyText"/>
      </w:pPr>
      <w:r>
        <w:t xml:space="preserve">The density of financial institutions means that competition among</w:t>
      </w:r>
      <w:r>
        <w:t xml:space="preserve"> </w:t>
      </w:r>
      <w:r>
        <w:rPr>
          <w:bCs/>
          <w:b/>
        </w:rPr>
        <w:t xml:space="preserve">Economists</w:t>
      </w:r>
      <w:r>
        <w:t xml:space="preserve"> </w:t>
      </w:r>
      <w:r>
        <w:t xml:space="preserve">is high but also collaborative. Specializations range from fixed-income analysis to algorithmic trading strategies. For an</w:t>
      </w:r>
      <w:r>
        <w:t xml:space="preserve"> </w:t>
      </w:r>
      <w:r>
        <w:rPr>
          <w:bCs/>
          <w:b/>
        </w:rPr>
        <w:t xml:space="preserve">Economist</w:t>
      </w:r>
      <w:r>
        <w:t xml:space="preserve">, the daily reality involves interpreting global news flows—such as shifts in US Federal Reserve policy or geopolitical tensions—and immediately assessing their impact on the Euro and DAX indices. The speed at which information is processed and acted upon in Frankfurt requires an</w:t>
      </w:r>
      <w:r>
        <w:t xml:space="preserve"> </w:t>
      </w:r>
      <w:r>
        <w:rPr>
          <w:bCs/>
          <w:b/>
        </w:rPr>
        <w:t xml:space="preserve">Economist</w:t>
      </w:r>
      <w:r>
        <w:t xml:space="preserve"> </w:t>
      </w:r>
      <w:r>
        <w:t xml:space="preserve">to maintain a level of analytical agility that is both demanding and intellectually stimulating.</w:t>
      </w:r>
    </w:p>
    <w:bookmarkEnd w:id="21"/>
    <w:bookmarkStart w:id="22" w:name="Xa76dabe79fb3586e04d166f69b8aa8dddabbb5a"/>
    <w:p>
      <w:pPr>
        <w:pStyle w:val="Heading2"/>
      </w:pPr>
      <w:r>
        <w:t xml:space="preserve">The European Central Bank: The Heart of Monetary Policy</w:t>
      </w:r>
    </w:p>
    <w:p>
      <w:pPr>
        <w:pStyle w:val="FirstParagraph"/>
      </w:pPr>
      <w:r>
        <w:t xml:space="preserve">No discussion of an</w:t>
      </w:r>
      <w:r>
        <w:t xml:space="preserve"> </w:t>
      </w:r>
      <w:r>
        <w:rPr>
          <w:bCs/>
          <w:b/>
        </w:rPr>
        <w:t xml:space="preserve">Economist</w:t>
      </w:r>
      <w:r>
        <w:t xml:space="preserve">'s role in</w:t>
      </w:r>
      <w:r>
        <w:t xml:space="preserve"> </w:t>
      </w:r>
      <w:r>
        <w:t xml:space="preserve">Germany Frankfurt</w:t>
      </w:r>
      <w:r>
        <w:t xml:space="preserve"> </w:t>
      </w:r>
      <w:r>
        <w:t xml:space="preserve">would be complete without addressing the presence of the European Central Bank (ECB). Located along the Main River, the ECB is arguably one of the most powerful economic institutions in the world. For an</w:t>
      </w:r>
      <w:r>
        <w:t xml:space="preserve"> </w:t>
      </w:r>
      <w:r>
        <w:rPr>
          <w:bCs/>
          <w:b/>
        </w:rPr>
        <w:t xml:space="preserve">Economist</w:t>
      </w:r>
      <w:r>
        <w:t xml:space="preserve">, working within or closely associated with such an institution represents a pinnacle career opportunity. The scope of influence extends from setting interest rates that affect millions across the Eurozone to developing complex frameworks for quantitative easing and banking supervision.</w:t>
      </w:r>
    </w:p>
    <w:p>
      <w:pPr>
        <w:pStyle w:val="BodyText"/>
      </w:pPr>
      <w:r>
        <w:t xml:space="preserve">The presence of the ECB attracts top-tier talent from around the globe, creating a cosmopolitan community of economists. For an</w:t>
      </w:r>
      <w:r>
        <w:t xml:space="preserve"> </w:t>
      </w:r>
      <w:r>
        <w:rPr>
          <w:bCs/>
          <w:b/>
        </w:rPr>
        <w:t xml:space="preserve">Economist</w:t>
      </w:r>
      <w:r>
        <w:t xml:space="preserve"> </w:t>
      </w:r>
      <w:r>
        <w:t xml:space="preserve">stationed in Frankfurt, this means engaging with diverse perspectives on inflation targeting, exchange rate stability, and financial stability. The rigorous data analysis required to inform the Governing Council’s decisions demands a high degree of methodological rigor. Moreover, the ECB’s role in crisis management—evident during the Eurozone debt crisis and subsequent economic shocks—provides an</w:t>
      </w:r>
      <w:r>
        <w:t xml:space="preserve"> </w:t>
      </w:r>
      <w:r>
        <w:rPr>
          <w:bCs/>
          <w:b/>
        </w:rPr>
        <w:t xml:space="preserve">Economist</w:t>
      </w:r>
      <w:r>
        <w:t xml:space="preserve"> </w:t>
      </w:r>
      <w:r>
        <w:t xml:space="preserve">with real-time exposure to high-stakes policy decision-making. The lessons learned here are not just local to Frankfurt but have profound implications for global economic governance.</w:t>
      </w:r>
    </w:p>
    <w:bookmarkEnd w:id="22"/>
    <w:bookmarkStart w:id="23" w:name="the-regulatory-landscape-and-compliance"/>
    <w:p>
      <w:pPr>
        <w:pStyle w:val="Heading2"/>
      </w:pPr>
      <w:r>
        <w:t xml:space="preserve">The Regulatory Landscape and Compliance</w:t>
      </w:r>
    </w:p>
    <w:p>
      <w:pPr>
        <w:pStyle w:val="FirstParagraph"/>
      </w:pPr>
      <w:r>
        <w:t xml:space="preserve">In addition to monetary policy,</w:t>
      </w:r>
      <w:r>
        <w:t xml:space="preserve"> </w:t>
      </w:r>
      <w:r>
        <w:t xml:space="preserve">Germany Frankfurt</w:t>
      </w:r>
      <w:r>
        <w:t xml:space="preserve"> </w:t>
      </w:r>
      <w:r>
        <w:t xml:space="preserve">is a center for financial regulation. The Federal Financial Supervisory Authority (BaFin) has significant operations in the city, working in tandem with the ECB’s Single Supervisory Mechanism. For an</w:t>
      </w:r>
      <w:r>
        <w:t xml:space="preserve"> </w:t>
      </w:r>
      <w:r>
        <w:rPr>
          <w:bCs/>
          <w:b/>
        </w:rPr>
        <w:t xml:space="preserve">Economist</w:t>
      </w:r>
      <w:r>
        <w:t xml:space="preserve">, understanding the regulatory environment is crucial. This involves analyzing compliance costs, assessing systemic risks, and ensuring that market innovations—such as fintech and cryptocurrencies—are integrated responsibly.</w:t>
      </w:r>
    </w:p>
    <w:p>
      <w:pPr>
        <w:pStyle w:val="BodyText"/>
      </w:pPr>
      <w:r>
        <w:t xml:space="preserve">An</w:t>
      </w:r>
      <w:r>
        <w:t xml:space="preserve"> </w:t>
      </w:r>
      <w:r>
        <w:rPr>
          <w:bCs/>
          <w:b/>
        </w:rPr>
        <w:t xml:space="preserve">Economist</w:t>
      </w:r>
      <w:r>
        <w:t xml:space="preserve"> </w:t>
      </w:r>
      <w:r>
        <w:t xml:space="preserve">in this sphere must navigate a complex web of national German laws and overarching EU directives. This requires not only economic literacy but also legal acumen. The ability to interpret how new regulations impact market behavior is a key skill for the modern</w:t>
      </w:r>
      <w:r>
        <w:t xml:space="preserve"> </w:t>
      </w:r>
      <w:r>
        <w:rPr>
          <w:bCs/>
          <w:b/>
        </w:rPr>
        <w:t xml:space="preserve">Economist</w:t>
      </w:r>
      <w:r>
        <w:t xml:space="preserve"> </w:t>
      </w:r>
      <w:r>
        <w:t xml:space="preserve">in Frankfurt. It highlights the shift towards "regulatory economics," where policy constraints are modeled as integral variables in economic equations rather than external shocks.</w:t>
      </w:r>
    </w:p>
    <w:bookmarkEnd w:id="23"/>
    <w:bookmarkStart w:id="24" w:name="X1c87d18b0d4c0a3aea79c62d5b90d16f4e43340"/>
    <w:p>
      <w:pPr>
        <w:pStyle w:val="Heading2"/>
      </w:pPr>
      <w:r>
        <w:t xml:space="preserve">Conclusion: A Strategic Hub for Economic Excellence</w:t>
      </w:r>
    </w:p>
    <w:p>
      <w:pPr>
        <w:pStyle w:val="FirstParagraph"/>
      </w:pPr>
      <w:r>
        <w:t xml:space="preserve">In conclusion, the convergence of academic excellence, financial industry density, and central banking authority makes</w:t>
      </w:r>
      <w:r>
        <w:t xml:space="preserve"> </w:t>
      </w:r>
      <w:r>
        <w:t xml:space="preserve">Germany Frankfurt</w:t>
      </w:r>
      <w:r>
        <w:t xml:space="preserve"> </w:t>
      </w:r>
      <w:r>
        <w:t xml:space="preserve">a unique and vital location for any serious</w:t>
      </w:r>
      <w:r>
        <w:t xml:space="preserve"> </w:t>
      </w:r>
      <w:r>
        <w:rPr>
          <w:bCs/>
          <w:b/>
        </w:rPr>
        <w:t xml:space="preserve">Economist</w:t>
      </w:r>
      <w:r>
        <w:t xml:space="preserve">. It is a city where theory meets practice in real-time. For professionals seeking to impact global finance through rigorous analysis, policy formulation, or market strategy, Frankfurt offers an environment that challenges and rewards intellectual curiosity. The role of the</w:t>
      </w:r>
      <w:r>
        <w:t xml:space="preserve"> </w:t>
      </w:r>
      <w:r>
        <w:rPr>
          <w:bCs/>
          <w:b/>
        </w:rPr>
        <w:t xml:space="preserve">Economist</w:t>
      </w:r>
      <w:r>
        <w:t xml:space="preserve"> </w:t>
      </w:r>
      <w:r>
        <w:t xml:space="preserve">here is multifaceted: part academic researcher, part market analyst, and part policy advisor. As the global economy continues to face unprecedented challenges—from climate change to digital transformation—Frankfurt remains a critical node where these issues are analyzed, debated, and solved by some of the sharpest economic minds in the world.</w:t>
      </w:r>
    </w:p>
    <w:p>
      <w:pPr>
        <w:pStyle w:val="BodyText"/>
      </w:pPr>
      <w:r>
        <w:t xml:space="preserve">Therefore, whether one is a student beginning their journey or an established professional seeking new horizons,</w:t>
      </w:r>
      <w:r>
        <w:t xml:space="preserve"> </w:t>
      </w:r>
      <w:r>
        <w:t xml:space="preserve">Germany Frankfurt</w:t>
      </w:r>
      <w:r>
        <w:t xml:space="preserve"> </w:t>
      </w:r>
      <w:r>
        <w:t xml:space="preserve">stands as a beacon for the</w:t>
      </w:r>
      <w:r>
        <w:t xml:space="preserve"> </w:t>
      </w:r>
      <w:r>
        <w:rPr>
          <w:bCs/>
          <w:b/>
        </w:rPr>
        <w:t xml:space="preserve">Economist</w:t>
      </w:r>
      <w:r>
        <w:t xml:space="preserve">, offering a platform to contribute meaningfully to the stability and growth of not just Germany, but the entire European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Germany: Frankfurt as a Nexus of Global Finance and Policy</dc:title>
  <dc:creator/>
  <dc:language>en</dc:language>
  <cp:keywords/>
  <dcterms:created xsi:type="dcterms:W3CDTF">2026-07-29T04:12:10Z</dcterms:created>
  <dcterms:modified xsi:type="dcterms:W3CDTF">2026-07-29T04:12:10Z</dcterms:modified>
</cp:coreProperties>
</file>

<file path=docProps/custom.xml><?xml version="1.0" encoding="utf-8"?>
<Properties xmlns="http://schemas.openxmlformats.org/officeDocument/2006/custom-properties" xmlns:vt="http://schemas.openxmlformats.org/officeDocument/2006/docPropsVTypes"/>
</file>