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4" w:name="Xffbf3093ba03b9e3cfb34085c98d1883d70492e"/>
    <w:p>
      <w:pPr>
        <w:pStyle w:val="Heading1"/>
      </w:pPr>
      <w:r>
        <w:t xml:space="preserve">The Role and Challenges of the Judge in Indonesia Jakarta</w:t>
      </w:r>
    </w:p>
    <w:p>
      <w:pPr>
        <w:pStyle w:val="FirstParagraph"/>
      </w:pPr>
      <w:r>
        <w:t xml:space="preserve">In the bustling metropolis of Jakarta, a city that serves as the political, economic, and cultural heart of Indonesia, the figure of the judge stands as a critical pillar in maintaining social order and upholding justice. As Southeast Asia's largest economy continues to grow at an unprecedented rate, the volume and complexity of legal disputes within Indonesia's capital have surged. Consequently, the role of every judge operating within this dynamic region transcends mere statutory application; it becomes an exercise in navigating deep cultural nuances, historical legacies, and modern administrative pressures. To understand the judiciary in Indonesia Jakarta is to understand a complex interplay between formal law and unwritten social expectations.</w:t>
      </w:r>
    </w:p>
    <w:bookmarkStart w:id="20" w:name="the-dualistic-legal-tradition"/>
    <w:p>
      <w:pPr>
        <w:pStyle w:val="Heading2"/>
      </w:pPr>
      <w:r>
        <w:t xml:space="preserve">The Dualistic Legal Tradition</w:t>
      </w:r>
    </w:p>
    <w:p>
      <w:pPr>
        <w:pStyle w:val="FirstParagraph"/>
      </w:pPr>
      <w:r>
        <w:t xml:space="preserve">A judge practicing law in Indonesia must be proficient not only in written statutes but also in the living traditions of their community. Historically, Indonesian society has been governed by customary law known as *Adat*, which predates colonial influence and remains deeply embedded in local consciousness. In Jakarta, a melting pot where migrants from across the archipelago reside, this duality is particularly evident. When a judge renders a verdict in Indonesia Jakarta, they are often balancing strict positivist law with the equitable principles of *Keadilan Sosial* (Social Justice) inherent in Pancasila, the nation's foundational philosophy. This means that for many litigants in Jakarta's courts, justice is not merely about who won or lost according to a technicality, but whether the outcome aligns with broader moral and communal harmony.</w:t>
      </w:r>
    </w:p>
    <w:bookmarkEnd w:id="20"/>
    <w:bookmarkStart w:id="21" w:name="X12e765f2d7e24d116479e826e977da48f952814"/>
    <w:p>
      <w:pPr>
        <w:pStyle w:val="Heading2"/>
      </w:pPr>
      <w:r>
        <w:t xml:space="preserve">Administrative Pressures and Judicial Integrity</w:t>
      </w:r>
    </w:p>
    <w:p>
      <w:pPr>
        <w:pStyle w:val="FirstParagraph"/>
      </w:pPr>
      <w:r>
        <w:t xml:space="preserve">The practical reality for a judge in Indonesia Jakarta is heavily influenced by administrative structures. The Indonesian National Armed Forces (TNI) and national police have historically held significant sway, but the judiciary has seen various rounds of reform aimed at enhancing transparency. However, the sheer volume of cases filed in courts like the South Jakarta District Court (*Pengadilan Negeri Jakarta Selatan*) places immense pressure on individual judges. These judicial officers are expected to process thousands of cases annually while maintaining high standards for evidence and due process.</w:t>
      </w:r>
    </w:p>
    <w:p>
      <w:pPr>
        <w:pStyle w:val="BodyText"/>
      </w:pPr>
      <w:r>
        <w:t xml:space="preserve">Besides caseloads, ethical integrity remains a focal point for judicial reform in Indonesia. The establishment of the Judicial Commission (*Komisi Yudisial*) marked a significant shift aimed at monitoring the conduct of judges to prevent corruption. For a judge in this era, maintaining public trust requires not only legal acumen but also visible moral uprightness. The image of the judiciary is paramount; any perception that justice in Indonesia Jakarta can be bought undermines the legitimacy of democratic institutions.</w:t>
      </w:r>
    </w:p>
    <w:bookmarkEnd w:id="21"/>
    <w:bookmarkStart w:id="22" w:name="X6244cbb813df259ab2b577642ad86eddce3ec7e"/>
    <w:p>
      <w:pPr>
        <w:pStyle w:val="Heading2"/>
      </w:pPr>
      <w:r>
        <w:t xml:space="preserve">The Burden and Responsibility of Jurisprudence</w:t>
      </w:r>
    </w:p>
    <w:p>
      <w:pPr>
        <w:pStyle w:val="FirstParagraph"/>
      </w:pPr>
      <w:r>
        <w:t xml:space="preserve">Furthermore, judges are not just arbiters; they are active participants in shaping legal precedent. In cases involving digital crimes, labor rights, or land disputes—common occurrences in a rapidly urbanizing Jakarta—a judge's interpretation can set precedents that ripple through the rest of the nation. This requires a deep understanding of both domestic regulations and international human rights standards increasingly relevant to Indonesia’s global standing.</w:t>
      </w:r>
    </w:p>
    <w:bookmarkEnd w:id="22"/>
    <w:bookmarkStart w:id="23" w:name="conclusion"/>
    <w:p>
      <w:pPr>
        <w:pStyle w:val="Heading2"/>
      </w:pPr>
      <w:r>
        <w:t xml:space="preserve">Conclusion</w:t>
      </w:r>
    </w:p>
    <w:p>
      <w:pPr>
        <w:pStyle w:val="FirstParagraph"/>
      </w:pPr>
      <w:r>
        <w:t xml:space="preserve">In conclusion, being a judge in Indonesia Jakarta is an arduous yet indispensable role. It demands resilience against administrative bottlenecks, unwavering ethical commitment amidst societal pressures, and intellectual agility to reconcile traditional values with modern legal frameworks. As Indonesia continues its trajectory toward becoming a major global economic power, the integrity and capability of judges in its capital will serve as a barometer for the health of its democracy. The judge is not merely an employee of the state but a guardian of public trust, tasked with ensuring that justice remains accessible, fair, and respected across all strata of society.</w:t>
      </w:r>
    </w:p>
    <w:p>
      <w:pPr>
        <w:pStyle w:val="BodyText"/>
      </w:pPr>
      <w:r>
        <w:t xml:space="preserve">Submitted by: [Student Name]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Indonesia Jakarta</dc:title>
  <dc:creator/>
  <dc:language>en</dc:language>
  <cp:keywords/>
  <dcterms:created xsi:type="dcterms:W3CDTF">2026-07-29T21:25:01Z</dcterms:created>
  <dcterms:modified xsi:type="dcterms:W3CDTF">2026-07-29T21:25:01Z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