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Implications</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Germany</w:t>
      </w:r>
      <w:r>
        <w:t xml:space="preserve"> </w:t>
      </w:r>
      <w:r>
        <w:t xml:space="preserve">Frankfurt</w:t>
      </w:r>
    </w:p>
    <w:p>
      <w:pPr>
        <w:pStyle w:val="FirstParagraph"/>
      </w:pPr>
      <w:r>
        <w:t xml:space="preserve">```html</w:t>
      </w:r>
    </w:p>
    <w:p>
      <w:pPr>
        <w:pStyle w:val="BodyText"/>
      </w:pPr>
      <w:r>
        <w:t xml:space="preserve">The role of a</w:t>
      </w:r>
      <w:r>
        <w:t xml:space="preserve"> </w:t>
      </w:r>
      <w:r>
        <w:rPr>
          <w:bCs/>
          <w:b/>
        </w:rPr>
        <w:t xml:space="preserve">Robotics Engineer</w:t>
      </w:r>
      <w:r>
        <w:t xml:space="preserve"> </w:t>
      </w:r>
      <w:r>
        <w:t xml:space="preserve">in modern society has become increasingly significant, particularly in industrial hubs like</w:t>
      </w:r>
      <w:r>
        <w:t xml:space="preserve"> </w:t>
      </w:r>
      <w:r>
        <w:rPr>
          <w:bCs/>
          <w:b/>
        </w:rPr>
        <w:t xml:space="preserve">Germany Frankfurt</w:t>
      </w:r>
      <w:r>
        <w:t xml:space="preserve">. As technology advances at an unprecedented pace, the ethical considerations surrounding robotics have come to the forefront. This essay explores the multifaceted ethical implications of robotics engineering within this dynamic locale.</w:t>
      </w:r>
    </w:p>
    <w:bookmarkStart w:id="20" w:name="the-role-of-robotics-engineers"/>
    <w:p>
      <w:pPr>
        <w:pStyle w:val="Heading2"/>
      </w:pPr>
      <w:r>
        <w:t xml:space="preserve">The Role of Robotics Engineers</w:t>
      </w:r>
    </w:p>
    <w:p>
      <w:pPr>
        <w:pStyle w:val="FirstParagraph"/>
      </w:pPr>
      <w:r>
        <w:rPr>
          <w:bCs/>
          <w:b/>
        </w:rPr>
        <w:t xml:space="preserve">Robotics Engineers</w:t>
      </w:r>
      <w:r>
        <w:t xml:space="preserve"> </w:t>
      </w:r>
      <w:r>
        <w:t xml:space="preserve">are pivotal in designing, constructing, and maintaining robots for various applications ranging from manufacturing to healthcare. In</w:t>
      </w:r>
      <w:r>
        <w:t xml:space="preserve"> </w:t>
      </w:r>
      <w:r>
        <w:rPr>
          <w:bCs/>
          <w:b/>
        </w:rPr>
        <w:t xml:space="preserve">Germany Frankfurt</w:t>
      </w:r>
      <w:r>
        <w:t xml:space="preserve">, known for its robust industrial base and technological advancements, these engineers play a crucial role in enhancing productivity and efficiency. However, with their influence comes profound ethical responsibilities.</w:t>
      </w:r>
    </w:p>
    <w:bookmarkEnd w:id="20"/>
    <w:bookmarkStart w:id="26" w:name="X9ee1cb3cf0838a838333b8d2c95e86ef5a5c244"/>
    <w:p>
      <w:pPr>
        <w:pStyle w:val="Heading2"/>
      </w:pPr>
      <w:r>
        <w:t xml:space="preserve">Ethical Challenges in Robotics Engineering</w:t>
      </w:r>
    </w:p>
    <w:p>
      <w:pPr>
        <w:pStyle w:val="FirstParagraph"/>
      </w:pPr>
      <w:r>
        <w:rPr>
          <w:iCs/>
          <w:i/>
        </w:rPr>
        <w:t xml:space="preserve">Data Privacy:</w:t>
      </w:r>
    </w:p>
    <w:p>
      <w:pPr>
        <w:numPr>
          <w:ilvl w:val="0"/>
          <w:numId w:val="1001"/>
        </w:numPr>
        <w:pStyle w:val="Compact"/>
      </w:pPr>
      <w:r>
        <w:rPr>
          <w:bCs/>
          <w:b/>
        </w:rPr>
        <w:t xml:space="preserve">Sensitive Information Handling:</w:t>
      </w:r>
      <w:r>
        <w:t xml:space="preserve"> </w:t>
      </w:r>
      <w:r>
        <w:t xml:space="preserve">Robots often collect vast amounts of data, raising concerns about privacy breaches.</w:t>
      </w:r>
    </w:p>
    <w:p>
      <w:pPr>
        <w:numPr>
          <w:ilvl w:val="0"/>
          <w:numId w:val="1001"/>
        </w:numPr>
      </w:pPr>
      <w:r>
        <w:rPr>
          <w:bCs/>
          <w:b/>
        </w:rPr>
        <w:t xml:space="preserve">Informed Consent:</w:t>
      </w:r>
      <w:r>
        <w:t xml:space="preserve"> </w:t>
      </w:r>
      <w:r>
        <w:t xml:space="preserve">P</w:t>
      </w:r>
    </w:p>
    <w:p>
      <w:pPr>
        <w:numPr>
          <w:ilvl w:val="0"/>
          <w:numId w:val="1000"/>
        </w:numPr>
      </w:pPr>
      <w:r>
        <w:rPr>
          <w:iCs/>
          <w:i/>
        </w:rPr>
        <w:t xml:space="preserve">Accountability and Liability:</w:t>
      </w:r>
    </w:p>
    <w:p>
      <w:pPr>
        <w:numPr>
          <w:ilvl w:val="0"/>
          <w:numId w:val="1000"/>
        </w:numPr>
      </w:pPr>
      <w:r>
        <w:rPr>
          <w:bCs/>
          <w:b/>
        </w:rPr>
        <w:t xml:space="preserve">Determining Responsibility</w:t>
      </w:r>
      <w:r>
        <w:t xml:space="preserve">: Establishing clear lines of accountability when errors or accidents involving robots occur.Safety Protocols:</w:t>
      </w:r>
    </w:p>
    <w:p>
      <w:pPr>
        <w:numPr>
          <w:ilvl w:val="1"/>
          <w:numId w:val="1002"/>
        </w:numPr>
        <w:pStyle w:val="Compact"/>
      </w:pPr>
      <w:r>
        <w:rPr>
          <w:bCs/>
          <w:b/>
        </w:rPr>
        <w:t xml:space="preserve">Risk Assessment:</w:t>
      </w:r>
      <w:r>
        <w:t xml:space="preserve"> </w:t>
      </w:r>
      <w:r>
        <w:t xml:space="preserve">Conducting thorough risk analyses to minimize potential hazards posed by robotic systems.</w:t>
      </w:r>
    </w:p>
    <w:p>
      <w:pPr>
        <w:numPr>
          <w:ilvl w:val="0"/>
          <w:numId w:val="1000"/>
        </w:numPr>
      </w:pPr>
      <w:r>
        <w:t xml:space="preserve">P</w:t>
      </w:r>
    </w:p>
    <w:p>
      <w:pPr>
        <w:numPr>
          <w:ilvl w:val="0"/>
          <w:numId w:val="1000"/>
        </w:numPr>
      </w:pPr>
      <w:r>
        <w:rPr>
          <w:iCs/>
          <w:i/>
        </w:rPr>
        <w:t xml:space="preserve">Bias and Discrimination:</w:t>
      </w:r>
    </w:p>
    <w:p>
      <w:pPr>
        <w:numPr>
          <w:ilvl w:val="0"/>
          <w:numId w:val="1000"/>
        </w:numPr>
      </w:pPr>
      <w:r>
        <w:rPr>
          <w:bCs/>
          <w:b/>
        </w:rPr>
        <w:t xml:space="preserve">Avoiding Prejudice in Algorithms:</w:t>
      </w:r>
      <w:r>
        <w:t xml:space="preserve"> </w:t>
      </w:r>
      <w:r>
        <w:t xml:space="preserve">Ensuring that the algorithms guiding robots do not perpetuate biases or lead to discriminatory outcomes.</w:t>
      </w:r>
      <w:r>
        <w:rPr>
          <w:iCs/>
          <w:i/>
        </w:rPr>
        <w:t xml:space="preserve">Job Displacement</w:t>
      </w:r>
      <w:r>
        <w:t xml:space="preserve">:P</w:t>
      </w:r>
    </w:p>
    <w:p>
      <w:pPr>
        <w:numPr>
          <w:ilvl w:val="1"/>
          <w:numId w:val="1003"/>
        </w:numPr>
      </w:pPr>
      <w:r>
        <w:rPr>
          <w:bCs/>
          <w:b/>
        </w:rPr>
        <w:t xml:space="preserve">Economic Impact:</w:t>
      </w:r>
      <w:r>
        <w:t xml:space="preserve"> </w:t>
      </w:r>
      <w:r>
        <w:t xml:space="preserve">Assessing the potential impact of automation on employment and exploring strategies for workforce adaptation.P</w:t>
      </w:r>
    </w:p>
    <w:p>
      <w:pPr>
        <w:numPr>
          <w:ilvl w:val="1"/>
          <w:numId w:val="1000"/>
        </w:numPr>
        <w:pStyle w:val="Heading2"/>
      </w:pPr>
      <w:bookmarkStart w:id="21" w:name="the-context-of-germany-frankfurt"/>
      <w:r>
        <w:t xml:space="preserve">The Context of Germany Frankfurt</w:t>
      </w:r>
      <w:bookmarkEnd w:id="21"/>
    </w:p>
    <w:p>
      <w:pPr>
        <w:numPr>
          <w:ilvl w:val="1"/>
          <w:numId w:val="1000"/>
        </w:numPr>
      </w:pPr>
      <w:r>
        <w:t xml:space="preserve">p3P</w:t>
      </w:r>
    </w:p>
    <w:p>
      <w:pPr>
        <w:numPr>
          <w:ilvl w:val="1"/>
          <w:numId w:val="1000"/>
        </w:numPr>
      </w:pPr>
      <w:r>
        <w:rPr>
          <w:bCs/>
          <w:b/>
        </w:rPr>
        <w:t xml:space="preserve">Germany Frankfurt</w:t>
      </w:r>
      <w:r>
        <w:t xml:space="preserve"> </w:t>
      </w:r>
      <w:r>
        <w:t xml:space="preserve">presents a unique environment where these ethical considerations are particularly relevant. As a financial hub with cutting-edge research institutions, the city is at the forefront of robotics innovation. However, this rapid technological advancement necessitates rigorous ethical oversight.</w:t>
      </w:r>
    </w:p>
    <w:p>
      <w:pPr>
        <w:numPr>
          <w:ilvl w:val="0"/>
          <w:numId w:val="1000"/>
        </w:numPr>
      </w:pPr>
      <w:r>
        <w:t xml:space="preserve">P</w:t>
      </w:r>
    </w:p>
    <w:p>
      <w:pPr>
        <w:numPr>
          <w:ilvl w:val="0"/>
          <w:numId w:val="1000"/>
        </w:numPr>
        <w:pStyle w:val="Heading3"/>
      </w:pPr>
      <w:bookmarkStart w:id="22" w:name="industry-specific-considerations"/>
      <w:r>
        <w:t xml:space="preserve">Industry-Specific Considerations:</w:t>
      </w:r>
      <w:bookmarkEnd w:id="22"/>
    </w:p>
    <w:p>
      <w:pPr>
        <w:numPr>
          <w:ilvl w:val="0"/>
          <w:numId w:val="1000"/>
        </w:numPr>
      </w:pPr>
      <w:r>
        <w:rPr>
          <w:bCs/>
          <w:b/>
        </w:rPr>
        <w:t xml:space="preserve">Manufacturing Sector:</w:t>
      </w:r>
      <w:r>
        <w:t xml:space="preserve"> </w:t>
      </w:r>
      <w:r>
        <w:t xml:space="preserve">Balancing efficiency gains with fair labor practices and safety standards.</w:t>
      </w:r>
    </w:p>
    <w:p>
      <w:pPr>
        <w:pStyle w:val="FirstParagraph"/>
      </w:pPr>
      <w:r>
        <w:t xml:space="preserve">p</w:t>
      </w:r>
    </w:p>
    <w:bookmarkStart w:id="23" w:name="academic-influence"/>
    <w:p>
      <w:pPr>
        <w:pStyle w:val="Heading4"/>
      </w:pPr>
      <w:r>
        <w:t xml:space="preserve">Academic Influence:</w:t>
      </w:r>
    </w:p>
    <w:p>
      <w:pPr>
        <w:pStyle w:val="FirstParagraph"/>
      </w:pPr>
      <w:r>
        <w:rPr>
          <w:bCs/>
          <w:b/>
        </w:rPr>
        <w:t xml:space="preserve">Educational Initiatives:</w:t>
      </w:r>
      <w:r>
        <w:t xml:space="preserve"> </w:t>
      </w:r>
      <w:r>
        <w:t xml:space="preserve">Promoting ethical training in academic programs to cultivate responsible robotics engineers.</w:t>
      </w:r>
    </w:p>
    <w:p>
      <w:pPr>
        <w:pStyle w:val="BodyText"/>
      </w:pPr>
      <w:r>
        <w:t xml:space="preserve">P</w:t>
      </w:r>
    </w:p>
    <w:bookmarkEnd w:id="23"/>
    <w:bookmarkStart w:id="25" w:name="regulatory-frameworks"/>
    <w:p>
      <w:pPr>
        <w:pStyle w:val="Heading3"/>
      </w:pPr>
      <w:r>
        <w:t xml:space="preserve">Regulatory Frameworks:</w:t>
      </w:r>
    </w:p>
    <w:p>
      <w:pPr>
        <w:pStyle w:val="FirstParagraph"/>
      </w:pPr>
      <w:r>
        <w:t xml:space="preserve">National Standards:</w:t>
      </w:r>
    </w:p>
    <w:p>
      <w:pPr>
        <w:pStyle w:val="BodyText"/>
      </w:pPr>
      <w:r>
        <w:t xml:space="preserve">p</w:t>
      </w:r>
    </w:p>
    <w:bookmarkStart w:id="24" w:name="public-engagement"/>
    <w:p>
      <w:pPr>
        <w:pStyle w:val="Heading4"/>
      </w:pPr>
      <w:r>
        <w:t xml:space="preserve">Public Engagement:</w:t>
      </w:r>
    </w:p>
    <w:p>
      <w:pPr>
        <w:pStyle w:val="FirstParagraph"/>
      </w:pPr>
      <w:r>
        <w:t xml:space="preserve">Community Involvement:</w:t>
      </w:r>
    </w:p>
    <w:p>
      <w:pPr>
        <w:pStyle w:val="BodyText"/>
      </w:pPr>
      <w:r>
        <w:t xml:space="preserve">P</w:t>
      </w:r>
    </w:p>
    <w:bookmarkEnd w:id="24"/>
    <w:bookmarkEnd w:id="25"/>
    <w:bookmarkEnd w:id="26"/>
    <w:bookmarkStart w:id="30" w:name="X33c22f47316efa77bdd5c60a120645c4283fb58"/>
    <w:p>
      <w:pPr>
        <w:pStyle w:val="Heading2"/>
      </w:pPr>
      <w:r>
        <w:t xml:space="preserve">The Importance of Ethical Robotics Engineering</w:t>
      </w:r>
    </w:p>
    <w:p>
      <w:pPr>
        <w:pStyle w:val="FirstParagraph"/>
      </w:pPr>
      <w:r>
        <w:t xml:space="preserve">p3P</w:t>
      </w:r>
    </w:p>
    <w:p>
      <w:pPr>
        <w:pStyle w:val="BodyText"/>
      </w:pPr>
      <w:r>
        <w:t xml:space="preserve">Ethics in robotics engineering is not merely a regulatory obligation but a fundamental aspect of responsible innovation. In</w:t>
      </w:r>
      <w:r>
        <w:t xml:space="preserve"> </w:t>
      </w:r>
      <w:r>
        <w:rPr>
          <w:bCs/>
          <w:b/>
        </w:rPr>
        <w:t xml:space="preserve">Germany Frankfurt</w:t>
      </w:r>
      <w:r>
        <w:t xml:space="preserve">, where technological leadership is paramount, the ethical conduct of</w:t>
      </w:r>
      <w:r>
        <w:t xml:space="preserve"> </w:t>
      </w:r>
      <w:r>
        <w:rPr>
          <w:bCs/>
          <w:b/>
        </w:rPr>
        <w:t xml:space="preserve">Robotics Engineers</w:t>
      </w:r>
      <w:r>
        <w:t xml:space="preserve"> </w:t>
      </w:r>
      <w:r>
        <w:t xml:space="preserve">directly influences public perception and acceptance of robotic technologies.</w:t>
      </w:r>
    </w:p>
    <w:p>
      <w:pPr>
        <w:pStyle w:val="BodyText"/>
      </w:pPr>
      <w:r>
        <w:t xml:space="preserve">P</w:t>
      </w:r>
    </w:p>
    <w:bookmarkStart w:id="29" w:name="building-trust"/>
    <w:p>
      <w:pPr>
        <w:pStyle w:val="Heading3"/>
      </w:pPr>
      <w:r>
        <w:t xml:space="preserve">Building Trust:</w:t>
      </w:r>
    </w:p>
    <w:p>
      <w:pPr>
        <w:pStyle w:val="FirstParagraph"/>
      </w:pPr>
      <w:r>
        <w:rPr>
          <w:bCs/>
          <w:b/>
        </w:rPr>
        <w:t xml:space="preserve">Social Acceptance:</w:t>
      </w:r>
    </w:p>
    <w:p>
      <w:pPr>
        <w:pStyle w:val="BodyText"/>
      </w:pPr>
      <w:r>
        <w:t xml:space="preserve">p</w:t>
      </w:r>
    </w:p>
    <w:bookmarkStart w:id="27" w:name="long-term-sustainability"/>
    <w:p>
      <w:pPr>
        <w:pStyle w:val="Heading4"/>
      </w:pPr>
      <w:r>
        <w:t xml:space="preserve">Long-Term Sustainability:</w:t>
      </w:r>
    </w:p>
    <w:p>
      <w:pPr>
        <w:pStyle w:val="FirstParagraph"/>
      </w:pPr>
      <w:r>
        <w:rPr>
          <w:bCs/>
          <w:b/>
        </w:rPr>
        <w:t xml:space="preserve">Ethical Practices Ensure Longevity:</w:t>
      </w:r>
    </w:p>
    <w:p>
      <w:pPr>
        <w:pStyle w:val="BodyText"/>
      </w:pPr>
      <w:r>
        <w:t xml:space="preserve">p</w:t>
      </w:r>
    </w:p>
    <w:bookmarkEnd w:id="27"/>
    <w:bookmarkStart w:id="28" w:name="global-leadership"/>
    <w:p>
      <w:pPr>
        <w:pStyle w:val="Heading4"/>
      </w:pPr>
      <w:r>
        <w:t xml:space="preserve">Global Leadership:</w:t>
      </w:r>
    </w:p>
    <w:p>
      <w:pPr>
        <w:pStyle w:val="FirstParagraph"/>
      </w:pPr>
      <w:r>
        <w:rPr>
          <w:bCs/>
          <w:b/>
        </w:rPr>
        <w:t xml:space="preserve">Setting Precedents:</w:t>
      </w:r>
    </w:p>
    <w:p>
      <w:pPr>
        <w:pStyle w:val="BodyText"/>
      </w:pPr>
      <w:r>
        <w:t xml:space="preserve">P</w:t>
      </w:r>
    </w:p>
    <w:bookmarkEnd w:id="28"/>
    <w:bookmarkEnd w:id="29"/>
    <w:bookmarkEnd w:id="30"/>
    <w:bookmarkStart w:id="31" w:name="conclusion"/>
    <w:p>
      <w:pPr>
        <w:pStyle w:val="Heading2"/>
      </w:pPr>
      <w:r>
        <w:t xml:space="preserve">Conclusion</w:t>
      </w:r>
    </w:p>
    <w:p>
      <w:pPr>
        <w:pStyle w:val="FirstParagraph"/>
      </w:pPr>
      <w:r>
        <w:t xml:space="preserve">p3P</w:t>
      </w:r>
    </w:p>
    <w:p>
      <w:pPr>
        <w:pStyle w:val="BodyText"/>
      </w:pPr>
      <w:r>
        <w:t xml:space="preserve">In conclusion, the role of a</w:t>
      </w:r>
      <w:r>
        <w:t xml:space="preserve"> </w:t>
      </w:r>
      <w:r>
        <w:rPr>
          <w:bCs/>
          <w:b/>
        </w:rPr>
        <w:t xml:space="preserve">Robotics Engineer</w:t>
      </w:r>
      <w:r>
        <w:t xml:space="preserve"> </w:t>
      </w:r>
      <w:r>
        <w:t xml:space="preserve">extends beyond technical proficiency to encompass significant ethical responsibilities. In</w:t>
      </w:r>
    </w:p>
    <w:p>
      <w:pPr>
        <w:pStyle w:val="BodyText"/>
      </w:pPr>
      <w:r>
        <w:t xml:space="preserve">P</w:t>
      </w:r>
    </w:p>
    <w:p>
      <w:pPr>
        <w:pStyle w:val="BodyText"/>
      </w:pPr>
      <w:r>
        <w:t xml:space="preserve">As we look to the future, collaboration between industry, academia, and regulatory bodies will be crucial in shaping an ethical framework for robotics engineering. Only through such concerted efforts can we harness the full potential of robotics while safeguarding our values and societal well-being.</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Implications of Robotics Engineers in Germany Frankfurt</dc:title>
  <dc:creator/>
  <dc:language>en</dc:language>
  <cp:keywords/>
  <dcterms:created xsi:type="dcterms:W3CDTF">2026-07-29T06:45:44Z</dcterms:created>
  <dcterms:modified xsi:type="dcterms:W3CDTF">2026-07-29T06:45:44Z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