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Strategic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Statistician</w:t>
      </w:r>
      <w:r>
        <w:t xml:space="preserve"> </w:t>
      </w:r>
      <w:r>
        <w:t xml:space="preserve">in</w:t>
      </w:r>
      <w:r>
        <w:t xml:space="preserve"> </w:t>
      </w:r>
      <w:r>
        <w:t xml:space="preserve">Iraq</w:t>
      </w:r>
      <w:r>
        <w:t xml:space="preserve"> </w:t>
      </w:r>
      <w:r>
        <w:t xml:space="preserve">Baghdad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Strategic Role of the Statistician in Iraq Baghdad</dc:title>
  <dc:creator/>
  <dc:language>en</dc:language>
  <cp:keywords/>
  <dcterms:created xsi:type="dcterms:W3CDTF">2026-09-26T11:08:35Z</dcterms:created>
  <dcterms:modified xsi:type="dcterms:W3CDTF">2026-09-26T11:08:35Z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