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Myanmar,</w:t>
      </w:r>
      <w:r>
        <w:t xml:space="preserve"> </w:t>
      </w:r>
      <w:r>
        <w:t xml:space="preserve">Yangon</w:t>
      </w:r>
    </w:p>
    <w:bookmarkStart w:id="25" w:name="X686bb698b104db8740ebd46b2cb449e549beb7f"/>
    <w:p>
      <w:pPr>
        <w:pStyle w:val="Heading1"/>
      </w:pPr>
      <w:r>
        <w:t xml:space="preserve">Bridging the Gap: The Critical Role of the Secondary Teacher in Myanmar, Yangon</w:t>
      </w:r>
    </w:p>
    <w:p>
      <w:pPr>
        <w:pStyle w:val="FirstParagraph"/>
      </w:pPr>
      <w:r>
        <w:t xml:space="preserve">In the evolving landscape of Southeast Asian education, few institutions are as dynamic or as critical as those within Myanmar. Specifically, within the bustling urban center of Yangon, known historically and economically as Rangoon before independence and now serving as the commercial hub of the nation, the educational system stands at a crossroads. At the heart of this transition is a pivotal figure:</w:t>
      </w:r>
      <w:r>
        <w:t xml:space="preserve"> </w:t>
      </w:r>
      <w:r>
        <w:rPr>
          <w:bCs/>
          <w:b/>
        </w:rPr>
        <w:t xml:space="preserve">Teacher Secondary</w:t>
      </w:r>
      <w:r>
        <w:t xml:space="preserve">. This essay explores the multifaceted role of secondary teachers in</w:t>
      </w:r>
      <w:r>
        <w:t xml:space="preserve"> </w:t>
      </w:r>
      <w:r>
        <w:rPr>
          <w:bCs/>
          <w:b/>
        </w:rPr>
        <w:t xml:space="preserve">Myanmar Yangon</w:t>
      </w:r>
      <w:r>
        <w:t xml:space="preserve">, examining how they navigate cultural heritage, modern pedagogical demands, and socio-economic challenges to shape the future generation.</w:t>
      </w:r>
    </w:p>
    <w:bookmarkStart w:id="20" w:name="X97d0e36e28a9d89c031c9ad27c85b7b2af98797"/>
    <w:p>
      <w:pPr>
        <w:pStyle w:val="Heading2"/>
      </w:pPr>
      <w:r>
        <w:t xml:space="preserve">The Context of Education in Myanmar Yangon</w:t>
      </w:r>
    </w:p>
    <w:p>
      <w:pPr>
        <w:pStyle w:val="FirstParagraph"/>
      </w:pPr>
      <w:r>
        <w:rPr>
          <w:bCs/>
          <w:b/>
        </w:rPr>
        <w:t xml:space="preserve">Myanmar Yangon</w:t>
      </w:r>
      <w:r>
        <w:t xml:space="preserve"> </w:t>
      </w:r>
      <w:r>
        <w:t xml:space="preserve">is more than just a geographic location; it is a microcosm of the nation’s broader struggles and aspirations. As the former capital, Yangon retains a colonial architectural legacy mixed with rapid modernization. The city houses some of the country’s most prestigious universities and schools, yet it also reflects stark disparities in educational access. In this environment, secondary education serves as the crucial bridge between primary foundational learning and tertiary specialization or vocational training.</w:t>
      </w:r>
    </w:p>
    <w:p>
      <w:pPr>
        <w:pStyle w:val="BodyText"/>
      </w:pPr>
      <w:r>
        <w:t xml:space="preserve">The student population in Yangon is diverse, ranging from children of affluent business families who attend private international schools to students from working-class neighborhoods relying on state-run institutions. The</w:t>
      </w:r>
      <w:r>
        <w:t xml:space="preserve"> </w:t>
      </w:r>
      <w:r>
        <w:rPr>
          <w:bCs/>
          <w:b/>
        </w:rPr>
        <w:t xml:space="preserve">Teacher Secondary</w:t>
      </w:r>
      <w:r>
        <w:t xml:space="preserve"> </w:t>
      </w:r>
      <w:r>
        <w:t xml:space="preserve">operates within this complex ecosystem, tasked with not only imparting academic knowledge but also fostering critical thinking and civic responsibility in a society undergoing rapid change.</w:t>
      </w:r>
    </w:p>
    <w:bookmarkEnd w:id="20"/>
    <w:bookmarkStart w:id="21" w:name="X225ee72da1c63a13e15f6d4c1fe736ba19af919"/>
    <w:p>
      <w:pPr>
        <w:pStyle w:val="Heading2"/>
      </w:pPr>
      <w:r>
        <w:t xml:space="preserve">The Professional Identity of the Secondary Teacher</w:t>
      </w:r>
    </w:p>
    <w:p>
      <w:pPr>
        <w:pStyle w:val="FirstParagraph"/>
      </w:pPr>
      <w:r>
        <w:t xml:space="preserve">The term</w:t>
      </w:r>
      <w:r>
        <w:t xml:space="preserve"> </w:t>
      </w:r>
      <w:r>
        <w:rPr>
          <w:bCs/>
          <w:b/>
        </w:rPr>
        <w:t xml:space="preserve">Teacher Secondary</w:t>
      </w:r>
      <w:r>
        <w:t xml:space="preserve">Myanmar Yangon, these teachers are often highly respected members of the community, viewed as mentors and moral guides rather than mere instructors of subjects like mathematics, science, or languages.</w:t>
      </w:r>
    </w:p>
    <w:p>
      <w:pPr>
        <w:pStyle w:val="BodyText"/>
      </w:pPr>
      <w:r>
        <w:t xml:space="preserve">However, the role is evolving. Traditionally focused on rote memorization and exam preparation for national standardized tests such as the Matriculation Exam, modern secondary education in Yangon demands a shift towards competency-based learning.</w:t>
      </w:r>
      <w:r>
        <w:t xml:space="preserve"> </w:t>
      </w:r>
      <w:r>
        <w:rPr>
          <w:bCs/>
          <w:b/>
        </w:rPr>
        <w:t xml:space="preserve">Teacher Secondary</w:t>
      </w:r>
    </w:p>
    <w:bookmarkEnd w:id="21"/>
    <w:bookmarkStart w:id="22" w:name="X31da6362a892027501c509a274d61cad1046002"/>
    <w:p>
      <w:pPr>
        <w:pStyle w:val="Heading2"/>
      </w:pPr>
      <w:r>
        <w:t xml:space="preserve">Socio-Cultural Challenges and Responsibilities</w:t>
      </w:r>
    </w:p>
    <w:p>
      <w:pPr>
        <w:pStyle w:val="FirstParagraph"/>
      </w:pPr>
      <w:r>
        <w:t xml:space="preserve">Educating adolescents in</w:t>
      </w:r>
      <w:r>
        <w:t xml:space="preserve"> </w:t>
      </w:r>
      <w:r>
        <w:rPr>
          <w:bCs/>
          <w:b/>
        </w:rPr>
        <w:t xml:space="preserve">Myanmar Yangon</w:t>
      </w:r>
      <w:r>
        <w:t xml:space="preserve">Teacher Secondary</w:t>
      </w:r>
    </w:p>
    <w:p>
      <w:pPr>
        <w:pStyle w:val="BodyText"/>
      </w:pPr>
      <w:r>
        <w:t xml:space="preserve">Furthermore, economic instability affects both teachers and students. Many educators in public schools in</w:t>
      </w:r>
      <w:r>
        <w:t xml:space="preserve"> </w:t>
      </w:r>
      <w:r>
        <w:rPr>
          <w:bCs/>
          <w:b/>
        </w:rPr>
        <w:t xml:space="preserve">Myanmar Yangon</w:t>
      </w:r>
    </w:p>
    <w:bookmarkEnd w:id="22"/>
    <w:bookmarkStart w:id="23" w:name="the-impact-on-national-development"/>
    <w:p>
      <w:pPr>
        <w:pStyle w:val="Heading2"/>
      </w:pPr>
      <w:r>
        <w:t xml:space="preserve">The Impact on National Development</w:t>
      </w:r>
    </w:p>
    <w:p>
      <w:pPr>
        <w:pStyle w:val="FirstParagraph"/>
      </w:pPr>
      <w:r>
        <w:t xml:space="preserve">The quality of</w:t>
      </w:r>
      <w:r>
        <w:t xml:space="preserve"> </w:t>
      </w:r>
      <w:r>
        <w:rPr>
          <w:bCs/>
          <w:b/>
        </w:rPr>
        <w:t xml:space="preserve">Teacher SecondaryMyanmar Yangon</w:t>
      </w:r>
    </w:p>
    <w:p>
      <w:pPr>
        <w:pStyle w:val="BodyText"/>
      </w:pPr>
      <w:r>
        <w:t xml:space="preserve">In recent years, there has been a push for curriculum reform in</w:t>
      </w:r>
      <w:r>
        <w:t xml:space="preserve"> </w:t>
      </w:r>
      <w:r>
        <w:rPr>
          <w:bCs/>
          <w:b/>
        </w:rPr>
        <w:t xml:space="preserve">Myanmar YangonTeacher Secondary</w:t>
      </w:r>
    </w:p>
    <w:bookmarkEnd w:id="23"/>
    <w:bookmarkStart w:id="24" w:name="Xafe9a383afbf1a20d2cc12d492ba04ea91ce5eb"/>
    <w:p>
      <w:pPr>
        <w:pStyle w:val="Heading2"/>
      </w:pPr>
      <w:r>
        <w:t xml:space="preserve">Conclusion: A Call for Support and Recognition</w:t>
      </w:r>
    </w:p>
    <w:p>
      <w:pPr>
        <w:pStyle w:val="FirstParagraph"/>
      </w:pPr>
      <w:r>
        <w:t xml:space="preserve">In conclusion, the</w:t>
      </w:r>
      <w:r>
        <w:t xml:space="preserve"> </w:t>
      </w:r>
      <w:r>
        <w:rPr>
          <w:bCs/>
          <w:b/>
        </w:rPr>
        <w:t xml:space="preserve">Teacher SecondaryMyanmar Yangon</w:t>
      </w:r>
    </w:p>
    <w:p>
      <w:pPr>
        <w:pStyle w:val="BodyText"/>
      </w:pPr>
      <w:r>
        <w:t xml:space="preserve">The future of</w:t>
      </w:r>
      <w:r>
        <w:t xml:space="preserve"> </w:t>
      </w:r>
      <w:r>
        <w:rPr>
          <w:bCs/>
          <w:b/>
        </w:rPr>
        <w:t xml:space="preserve">Myanmar YangonTeacher Secondary</w:t>
      </w:r>
    </w:p>
    <w:p>
      <w:pPr>
        <w:pStyle w:val="BodyText"/>
      </w:pPr>
      <w:r>
        <w:t xml:space="preserve">Ultimately, empowering</w:t>
      </w:r>
    </w:p>
    <w:p>
      <w:pPr>
        <w:pStyle w:val="BodyText"/>
      </w:pPr>
      <w:r>
        <w:t xml:space="preserve">Teacher SecondaryMyanmar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Myanmar, Yangon</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