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Belgium</w:t>
      </w:r>
      <w:r>
        <w:t xml:space="preserve"> </w:t>
      </w:r>
      <w:r>
        <w:t xml:space="preserve">Brussels</w:t>
      </w:r>
    </w:p>
    <w:bookmarkStart w:id="56" w:name="X680874c0c5261f3e4128c6a423e3c65d9a79b33"/>
    <w:p>
      <w:pPr>
        <w:pStyle w:val="Heading1"/>
      </w:pPr>
      <w:r>
        <w:t xml:space="preserve">The Digital Architect of Europe's Capital:</w:t>
      </w:r>
      <w:r>
        <w:br/>
      </w:r>
      <w:r>
        <w:t xml:space="preserve">An Essay on the Web Designer in Belgium Brussels</w:t>
      </w:r>
    </w:p>
    <w:p>
      <w:pPr>
        <w:pStyle w:val="FirstParagraph"/>
      </w:pPr>
      <w:r>
        <w:t xml:space="preserve">In the heart of Europe, where historical architecture meets modern bureaucracy, and where multiple languages converge in a unique cultural mosaic, there exists a pivotal role that shapes the digital identity of institutions and businesses alike. This role is that of the</w:t>
      </w:r>
      <w:r>
        <w:t xml:space="preserve"> </w:t>
      </w:r>
      <w:r>
        <w:rPr>
          <w:bCs/>
          <w:b/>
        </w:rPr>
        <w:t xml:space="preserve">Web Designer</w:t>
      </w:r>
      <w:r>
        <w:t xml:space="preserve">. Specifically within the context of</w:t>
      </w:r>
      <w:r>
        <w:t xml:space="preserve"> </w:t>
      </w:r>
      <w:r>
        <w:rPr>
          <w:bCs/>
          <w:b/>
        </w:rPr>
        <w:t xml:space="preserve">Belgium Brussels</w:t>
      </w:r>
      <w:r>
        <w:t xml:space="preserve">, the web designer is not merely a technician who arranges pixels on a screen; they are cultural translators, accessibility advocates, and strategic communicators who bridge the gap between complex digital needs and user experience. As Brussels solidifies its position as a global hub for politics, diplomacy, and technology, the demand for skilled professionals to craft compelling online presences has never been higher.</w:t>
      </w:r>
    </w:p>
    <w:bookmarkStart w:id="20" w:name="X12474222348ad1f74935f1825b2e0263c8cc58b"/>
    <w:p>
      <w:pPr>
        <w:pStyle w:val="Heading2"/>
      </w:pPr>
      <w:r>
        <w:t xml:space="preserve">The Multilingual Challenge: A Unique Context</w:t>
      </w:r>
    </w:p>
    <w:p>
      <w:pPr>
        <w:pStyle w:val="FirstParagraph"/>
      </w:pPr>
      <w:r>
        <w:t xml:space="preserve">To understand the specific demands placed on a</w:t>
      </w:r>
      <w:r>
        <w:t xml:space="preserve"> </w:t>
      </w:r>
      <w:r>
        <w:rPr>
          <w:bCs/>
          <w:b/>
        </w:rPr>
        <w:t xml:space="preserve">Web Designer</w:t>
      </w:r>
      <w:r>
        <w:t xml:space="preserve"> </w:t>
      </w:r>
      <w:r>
        <w:t xml:space="preserve">in</w:t>
      </w:r>
      <w:r>
        <w:t xml:space="preserve"> </w:t>
      </w:r>
      <w:r>
        <w:rPr>
          <w:bCs/>
          <w:b/>
        </w:rPr>
        <w:t xml:space="preserve">Belgium Brussels</w:t>
      </w:r>
      <w:r>
        <w:t xml:space="preserve">, one must first appreciate the linguistic landscape of the region. Brussels is officially bilingual, functioning in both French and Dutch, yet it operates as an international city where English serves as a common lingua franca for diplomats, EU officials, and expatriates. This tri-lingual reality presents a complex design challenge that goes far beyond simple translation.</w:t>
      </w:r>
    </w:p>
    <w:p>
      <w:pPr>
        <w:pStyle w:val="BodyText"/>
      </w:pPr>
      <w:r>
        <w:t xml:space="preserve">A</w:t>
      </w:r>
      <w:r>
        <w:t xml:space="preserve"> </w:t>
      </w:r>
      <w:r>
        <w:rPr>
          <w:bCs/>
          <w:b/>
        </w:rPr>
        <w:t xml:space="preserve">Web Designer</w:t>
      </w:r>
      <w:r>
        <w:t xml:space="preserve"> </w:t>
      </w:r>
      <w:r>
        <w:t xml:space="preserve">working in this environment must possess an acute sensitivity to layout and typography. Languages vary significantly in length; a German or Dutch word might be substantially longer than its English counterpart, potentially breaking rigid grid layouts. Conversely, French text often requires more vertical space due to the use of accents and specific typographic conventions. The</w:t>
      </w:r>
      <w:r>
        <w:t xml:space="preserve"> </w:t>
      </w:r>
      <w:r>
        <w:rPr>
          <w:bCs/>
          <w:b/>
        </w:rPr>
        <w:t xml:space="preserve">Web Designer</w:t>
      </w:r>
      <w:r>
        <w:t xml:space="preserve"> </w:t>
      </w:r>
      <w:r>
        <w:t xml:space="preserve">must anticipate these variations from the initial wireframing stage, ensuring that designs are fluid enough to accommodate content expansion without compromising aesthetic integrity or usability. This linguistic adaptability is a hallmark of exceptional design in</w:t>
      </w:r>
      <w:r>
        <w:t xml:space="preserve"> </w:t>
      </w:r>
      <w:r>
        <w:rPr>
          <w:bCs/>
          <w:b/>
        </w:rPr>
        <w:t xml:space="preserve">Belgium Brussels</w:t>
      </w:r>
      <w:r>
        <w:t xml:space="preserve">.</w:t>
      </w:r>
    </w:p>
    <w:bookmarkEnd w:id="20"/>
    <w:bookmarkStart w:id="21" w:name="the-european-institutional-influence"/>
    <w:p>
      <w:pPr>
        <w:pStyle w:val="Heading2"/>
      </w:pPr>
      <w:r>
        <w:t xml:space="preserve">The European Institutional Influence</w:t>
      </w:r>
    </w:p>
    <w:p>
      <w:pPr>
        <w:pStyle w:val="FirstParagraph"/>
      </w:pPr>
      <w:r>
        <w:t xml:space="preserve">No discussion of web design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21"/>
    <w:bookmarkStart w:id="22"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22"/>
    <w:bookmarkStart w:id="23"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23"/>
    <w:bookmarkStart w:id="24"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24"/>
    <w:bookmarkStart w:id="25"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25"/>
    <w:bookmarkStart w:id="26"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26"/>
    <w:bookmarkStart w:id="27"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27"/>
    <w:bookmarkStart w:id="28"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28"/>
    <w:bookmarkStart w:id="29"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29"/>
    <w:bookmarkStart w:id="30"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30"/>
    <w:bookmarkStart w:id="31"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31"/>
    <w:bookmarkStart w:id="32"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32"/>
    <w:bookmarkStart w:id="33"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33"/>
    <w:bookmarkStart w:id="34"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34"/>
    <w:bookmarkStart w:id="35"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35"/>
    <w:bookmarkStart w:id="36"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36"/>
    <w:bookmarkStart w:id="37"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37"/>
    <w:bookmarkStart w:id="38"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38"/>
    <w:bookmarkStart w:id="39"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39"/>
    <w:bookmarkStart w:id="40"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40"/>
    <w:bookmarkStart w:id="41"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41"/>
    <w:bookmarkStart w:id="42"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42"/>
    <w:bookmarkStart w:id="43"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43"/>
    <w:bookmarkStart w:id="44"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44"/>
    <w:bookmarkStart w:id="45"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45"/>
    <w:bookmarkStart w:id="46"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46"/>
    <w:bookmarkStart w:id="47"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47"/>
    <w:bookmarkStart w:id="48"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48"/>
    <w:bookmarkStart w:id="49"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49"/>
    <w:bookmarkStart w:id="50"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50"/>
    <w:bookmarkStart w:id="51"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51"/>
    <w:bookmarkStart w:id="52"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52"/>
    <w:bookmarkStart w:id="53"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53"/>
    <w:bookmarkStart w:id="54" w:name="identity"/>
    <w:p>
      <w:pPr>
        <w:pStyle w:val="Heading2"/>
      </w:pPr>
      <w:r>
        <w:t xml:space="preserve">Shaping Digital Identity for Global Institutions</w:t>
      </w:r>
    </w:p>
    <w:p>
      <w:pPr>
        <w:pStyle w:val="FirstParagraph"/>
      </w:pPr>
      <w:r>
        <w:t xml:space="preserve">The presence of the European Union institutions, the North Atlantic Treaty Organization (NATO), and thousands of international NGOs means that many organizations based in</w:t>
      </w:r>
      <w:r>
        <w:t xml:space="preserve"> </w:t>
      </w:r>
      <w:r>
        <w:rPr>
          <w:bCs/>
          <w:b/>
        </w:rPr>
        <w:t xml:space="preserve">Belgium Brussels</w:t>
      </w:r>
    </w:p>
    <w:p>
      <w:pPr>
        <w:pStyle w:val="BodyText"/>
      </w:pPr>
      <w:hyperlink w:anchor="accessibility">
        <w:r>
          <w:rPr>
            <w:rStyle w:val="Hyperlink"/>
          </w:rPr>
          <w:t xml:space="preserve">Accessibility and Inclusivity</w:t>
        </w:r>
      </w:hyperlink>
    </w:p>
    <w:p>
      <w:pPr>
        <w:pStyle w:val="BodyText"/>
      </w:pPr>
      <w:hyperlink w:anchor="future">
        <w:r>
          <w:rPr>
            <w:rStyle w:val="Hyperlink"/>
          </w:rPr>
          <w:t xml:space="preserve">The Future of Digital Design in the Capital</w:t>
        </w:r>
      </w:hyperlink>
    </w:p>
    <w:bookmarkEnd w:id="54"/>
    <w:bookmarkStart w:id="55" w:name="identity"/>
    <w:p>
      <w:pPr>
        <w:pStyle w:val="Heading2"/>
      </w:pPr>
      <w:r>
        <w:t xml:space="preserve">Shaping Digital Identity for Global Institutions</w:t>
      </w:r>
    </w:p>
    <w:p>
      <w:pPr>
        <w:pStyle w:val="FirstParagraph"/>
      </w:pPr>
      <w:r>
        <w:t xml:space="preserve">The presence of the European Union institutions</w:t>
      </w:r>
    </w:p>
    <w:bookmarkEnd w:id="55"/>
    <w:bookmarkEnd w:id="5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Web Designer in Belgium Brussels</dc:title>
  <dc:creator/>
  <dc:language>en</dc:language>
  <cp:keywords/>
  <dcterms:created xsi:type="dcterms:W3CDTF">2026-07-29T14:40:54Z</dcterms:created>
  <dcterms:modified xsi:type="dcterms:W3CDTF">2026-07-29T14:40:54Z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