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Actor-Based</w:t>
      </w:r>
      <w:r>
        <w:t xml:space="preserve"> </w:t>
      </w:r>
      <w:r>
        <w:t xml:space="preserve">System</w:t>
      </w:r>
      <w:r>
        <w:t xml:space="preserve"> </w:t>
      </w:r>
      <w:r>
        <w:t xml:space="preserve">Deployment</w:t>
      </w:r>
      <w:r>
        <w:t xml:space="preserve"> </w:t>
      </w:r>
      <w:r>
        <w:t xml:space="preserve">in</w:t>
      </w:r>
      <w:r>
        <w:t xml:space="preserve"> </w:t>
      </w:r>
      <w:r>
        <w:t xml:space="preserve">Myanmar</w:t>
      </w:r>
      <w:r>
        <w:t xml:space="preserve"> </w:t>
      </w:r>
      <w:r>
        <w:t xml:space="preserve">Yangon</w:t>
      </w:r>
    </w:p>
    <w:bookmarkStart w:id="20" w:name="Xea82e046b4e12d089a936791e587855f9abb798"/>
    <w:p>
      <w:pPr>
        <w:pStyle w:val="Heading1"/>
      </w:pPr>
      <w:r>
        <w:t xml:space="preserve">Experiment Protocol: Actor-Based Distributed System Deployment</w:t>
      </w:r>
    </w:p>
    <w:p>
      <w:pPr>
        <w:pStyle w:val="FirstParagraph"/>
      </w:pPr>
      <w:r>
        <w:rPr>
          <w:bCs/>
          <w:b/>
        </w:rPr>
        <w:t xml:space="preserve">Location:</w:t>
      </w:r>
      <w:r>
        <w:t xml:space="preserve"> </w:t>
      </w:r>
      <w:r>
        <w:t xml:space="preserve">Yangon, Myanmar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and evaluating an Actor-based distributed computing model within the specific network and infrastructural context of Yangon, Myanmar. The primary objective is to assess the resilience, latency, and throughput of Actor systems when subjected to the unique connectivity challenges, power fluctuations, and heterogeneous device environments prevalent in Yangon.</w:t>
      </w:r>
    </w:p>
    <w:p>
      <w:pPr>
        <w:pStyle w:val="BodyText"/>
      </w:pPr>
      <w:r>
        <w:t xml:space="preserve">The Actor model, characterized by isolated state, asynchronous message passing, and location transparency, is hypothesized to offer superior fault tolerance compared to traditional thread-based models in unstable network conditions. This experiment aims to validate this hypothesis empirically.</w:t>
      </w:r>
    </w:p>
    <w:bookmarkEnd w:id="21"/>
    <w:bookmarkStart w:id="22" w:name="scope-and-context-yangon-environment"/>
    <w:p>
      <w:pPr>
        <w:pStyle w:val="Heading2"/>
      </w:pPr>
      <w:r>
        <w:t xml:space="preserve">2. Scope and Context: Yangon Environment</w:t>
      </w:r>
    </w:p>
    <w:p>
      <w:pPr>
        <w:pStyle w:val="FirstParagraph"/>
      </w:pPr>
      <w:r>
        <w:t xml:space="preserve">The experimental environment is strictly defined by the operational realities of Yangon. Key environmental factors include:</w:t>
      </w:r>
    </w:p>
    <w:p>
      <w:pPr>
        <w:numPr>
          <w:ilvl w:val="0"/>
          <w:numId w:val="1001"/>
        </w:numPr>
        <w:pStyle w:val="Compact"/>
      </w:pPr>
      <w:r>
        <w:rPr>
          <w:bCs/>
          <w:b/>
        </w:rPr>
        <w:t xml:space="preserve">Network Instability:</w:t>
      </w:r>
      <w:r>
        <w:t xml:space="preserve"> </w:t>
      </w:r>
      <w:r>
        <w:t xml:space="preserve">Intermittent connectivity due to infrastructure limitations and scheduled maintenance.</w:t>
      </w:r>
    </w:p>
    <w:p>
      <w:pPr>
        <w:numPr>
          <w:ilvl w:val="0"/>
          <w:numId w:val="1001"/>
        </w:numPr>
        <w:pStyle w:val="Compact"/>
      </w:pPr>
      <w:r>
        <w:rPr>
          <w:bCs/>
          <w:b/>
        </w:rPr>
        <w:t xml:space="preserve">Power Reliability:</w:t>
      </w:r>
      <w:r>
        <w:t xml:space="preserve"> </w:t>
      </w:r>
      <w:r>
        <w:t xml:space="preserve">Occasional power outages requiring reliance on backup generators or UPS systems.</w:t>
      </w:r>
    </w:p>
    <w:p>
      <w:pPr>
        <w:numPr>
          <w:ilvl w:val="0"/>
          <w:numId w:val="1001"/>
        </w:numPr>
        <w:pStyle w:val="Compact"/>
      </w:pPr>
      <w:r>
        <w:rPr>
          <w:bCs/>
          <w:b/>
        </w:rPr>
        <w:t xml:space="preserve">Device Heterogeneity:</w:t>
      </w:r>
      <w:r>
        <w:t xml:space="preserve"> </w:t>
      </w:r>
      <w:r>
        <w:t xml:space="preserve">A mix of high-end servers and low-resource consumer devices accessing the system.</w:t>
      </w:r>
    </w:p>
    <w:p>
      <w:pPr>
        <w:numPr>
          <w:ilvl w:val="0"/>
          <w:numId w:val="1001"/>
        </w:numPr>
        <w:pStyle w:val="Compact"/>
      </w:pPr>
      <w:r>
        <w:rPr>
          <w:bCs/>
          <w:b/>
        </w:rPr>
        <w:t xml:space="preserve">Regulatory Compliance:</w:t>
      </w:r>
      <w:r>
        <w:t xml:space="preserve"> </w:t>
      </w:r>
      <w:r>
        <w:t xml:space="preserve">Adherence to local data sovereignty and telecommunications regulations in Myanmar.</w:t>
      </w:r>
    </w:p>
    <w:p>
      <w:pPr>
        <w:pStyle w:val="FirstParagraph"/>
      </w:pPr>
      <w:r>
        <w:rPr>
          <w:bCs/>
          <w:b/>
        </w:rPr>
        <w:t xml:space="preserve">Note:</w:t>
      </w:r>
      <w:r>
        <w:t xml:space="preserve"> </w:t>
      </w:r>
      <w:r>
        <w:t xml:space="preserve">All data collection and processing must comply with Myanmar's Electronic Transactions Law and relevant data protection guidelines.</w:t>
      </w:r>
    </w:p>
    <w:bookmarkEnd w:id="22"/>
    <w:bookmarkStart w:id="25" w:name="experimental-design"/>
    <w:p>
      <w:pPr>
        <w:pStyle w:val="Heading2"/>
      </w:pPr>
      <w:r>
        <w:t xml:space="preserve">3. Experimental Design</w:t>
      </w:r>
    </w:p>
    <w:bookmarkStart w:id="23" w:name="actor-system-architecture"/>
    <w:p>
      <w:pPr>
        <w:pStyle w:val="Heading3"/>
      </w:pPr>
      <w:r>
        <w:t xml:space="preserve">3.1 Actor System Architecture</w:t>
      </w:r>
    </w:p>
    <w:p>
      <w:pPr>
        <w:pStyle w:val="FirstParagraph"/>
      </w:pPr>
      <w:r>
        <w:t xml:space="preserve">The system will be implemented using a robust Actor framework (e.g., Akka or Erlang/OTP). The architecture consists of:</w:t>
      </w:r>
    </w:p>
    <w:p>
      <w:pPr>
        <w:numPr>
          <w:ilvl w:val="0"/>
          <w:numId w:val="1002"/>
        </w:numPr>
        <w:pStyle w:val="Compact"/>
      </w:pPr>
      <w:r>
        <w:rPr>
          <w:bCs/>
          <w:b/>
        </w:rPr>
        <w:t xml:space="preserve">Supervisor Actors:</w:t>
      </w:r>
      <w:r>
        <w:t xml:space="preserve"> </w:t>
      </w:r>
      <w:r>
        <w:t xml:space="preserve">Responsible for monitoring child actors and implementing restart strategies.</w:t>
      </w:r>
    </w:p>
    <w:p>
      <w:pPr>
        <w:numPr>
          <w:ilvl w:val="0"/>
          <w:numId w:val="1002"/>
        </w:numPr>
        <w:pStyle w:val="Compact"/>
      </w:pPr>
      <w:r>
        <w:rPr>
          <w:bCs/>
          <w:b/>
        </w:rPr>
        <w:t xml:space="preserve">Worker Actors:</w:t>
      </w:r>
      <w:r>
        <w:t xml:space="preserve"> </w:t>
      </w:r>
      <w:r>
        <w:t xml:space="preserve">Handle specific computational tasks or data processing units.</w:t>
      </w:r>
    </w:p>
    <w:p>
      <w:pPr>
        <w:numPr>
          <w:ilvl w:val="0"/>
          <w:numId w:val="1002"/>
        </w:numPr>
        <w:pStyle w:val="Compact"/>
      </w:pPr>
      <w:r>
        <w:rPr>
          <w:bCs/>
          <w:b/>
        </w:rPr>
        <w:t xml:space="preserve">Gateway Actors:</w:t>
      </w:r>
      <w:r>
        <w:t xml:space="preserve"> </w:t>
      </w:r>
      <w:r>
        <w:t xml:space="preserve">Manage external communications and client requests.</w:t>
      </w:r>
    </w:p>
    <w:bookmarkEnd w:id="23"/>
    <w:bookmarkStart w:id="24" w:name="deployment-strategy"/>
    <w:p>
      <w:pPr>
        <w:pStyle w:val="Heading3"/>
      </w:pPr>
      <w:r>
        <w:t xml:space="preserve">3.2 Deployment Strategy</w:t>
      </w:r>
    </w:p>
    <w:p>
      <w:pPr>
        <w:pStyle w:val="FirstParagraph"/>
      </w:pPr>
      <w:r>
        <w:t xml:space="preserve">The deployment will utilize a hybrid cloud approach, with primary nodes hosted locally in Yangon to minimize latency and secondary nodes in a regional data center for redundancy. This setup allows for testing cross-region Actor communication under realistic latency conditions.</w:t>
      </w:r>
    </w:p>
    <w:bookmarkEnd w:id="24"/>
    <w:bookmarkEnd w:id="25"/>
    <w:bookmarkStart w:id="29" w:name="methodology"/>
    <w:p>
      <w:pPr>
        <w:pStyle w:val="Heading2"/>
      </w:pPr>
      <w:r>
        <w:t xml:space="preserve">4. Methodology</w:t>
      </w:r>
    </w:p>
    <w:bookmarkStart w:id="26" w:name="phase-1-baseline-measurement"/>
    <w:p>
      <w:pPr>
        <w:pStyle w:val="Heading3"/>
      </w:pPr>
      <w:r>
        <w:t xml:space="preserve">4.1 Phase 1: Baseline Measurement</w:t>
      </w:r>
    </w:p>
    <w:p>
      <w:pPr>
        <w:pStyle w:val="FirstParagraph"/>
      </w:pPr>
      <w:r>
        <w:t xml:space="preserve">Initial tests will establish baseline performance metrics under stable conditions. Key metrics include:</w:t>
      </w:r>
    </w:p>
    <w:p>
      <w:pPr>
        <w:numPr>
          <w:ilvl w:val="0"/>
          <w:numId w:val="1003"/>
        </w:numPr>
        <w:pStyle w:val="Compact"/>
      </w:pPr>
      <w:r>
        <w:t xml:space="preserve">Message throughput (messages per second)</w:t>
      </w:r>
    </w:p>
    <w:p>
      <w:pPr>
        <w:numPr>
          <w:ilvl w:val="0"/>
          <w:numId w:val="1003"/>
        </w:numPr>
        <w:pStyle w:val="Compact"/>
      </w:pPr>
      <w:r>
        <w:t xml:space="preserve">Average latency (milliseconds)</w:t>
      </w:r>
    </w:p>
    <w:p>
      <w:pPr>
        <w:numPr>
          <w:ilvl w:val="0"/>
          <w:numId w:val="1003"/>
        </w:numPr>
        <w:pStyle w:val="Compact"/>
      </w:pPr>
      <w:r>
        <w:t xml:space="preserve">System resource utilization (CPU, memory)</w:t>
      </w:r>
    </w:p>
    <w:bookmarkEnd w:id="26"/>
    <w:bookmarkStart w:id="27" w:name="phase-2-stress-testing"/>
    <w:p>
      <w:pPr>
        <w:pStyle w:val="Heading3"/>
      </w:pPr>
      <w:r>
        <w:t xml:space="preserve">4.2 Phase 2: Stress Testing</w:t>
      </w:r>
    </w:p>
    <w:p>
      <w:pPr>
        <w:pStyle w:val="FirstParagraph"/>
      </w:pPr>
      <w:r>
        <w:t xml:space="preserve">The system will be subjected to controlled stress tests simulating Yangon-specific challenges:</w:t>
      </w:r>
    </w:p>
    <w:p>
      <w:pPr>
        <w:numPr>
          <w:ilvl w:val="0"/>
          <w:numId w:val="1004"/>
        </w:numPr>
        <w:pStyle w:val="Compact"/>
      </w:pPr>
      <w:r>
        <w:rPr>
          <w:bCs/>
          <w:b/>
        </w:rPr>
        <w:t xml:space="preserve">Network Partitioning:</w:t>
      </w:r>
      <w:r>
        <w:t xml:space="preserve"> </w:t>
      </w:r>
      <w:r>
        <w:t xml:space="preserve">Simulating complete loss of connectivity between Actor clusters.</w:t>
      </w:r>
    </w:p>
    <w:p>
      <w:pPr>
        <w:numPr>
          <w:ilvl w:val="0"/>
          <w:numId w:val="1004"/>
        </w:numPr>
        <w:pStyle w:val="Compact"/>
      </w:pPr>
      <w:r>
        <w:rPr>
          <w:bCs/>
          <w:b/>
        </w:rPr>
        <w:t xml:space="preserve">High Latency:</w:t>
      </w:r>
      <w:r>
        <w:t xml:space="preserve"> </w:t>
      </w:r>
      <w:r>
        <w:t xml:space="preserve">Introducing artificial delays to mimic congested network conditions.</w:t>
      </w:r>
    </w:p>
    <w:p>
      <w:pPr>
        <w:numPr>
          <w:ilvl w:val="0"/>
          <w:numId w:val="1004"/>
        </w:numPr>
        <w:pStyle w:val="Compact"/>
      </w:pPr>
      <w:r>
        <w:rPr>
          <w:bCs/>
          <w:b/>
        </w:rPr>
        <w:t xml:space="preserve">Node Failure:</w:t>
      </w:r>
      <w:r>
        <w:t xml:space="preserve"> </w:t>
      </w:r>
      <w:r>
        <w:t xml:space="preserve">Randomly terminating Actor nodes to test supervisor restart mechanisms.</w:t>
      </w:r>
    </w:p>
    <w:bookmarkEnd w:id="27"/>
    <w:bookmarkStart w:id="28" w:name="phase-3-real-world-simulation"/>
    <w:p>
      <w:pPr>
        <w:pStyle w:val="Heading3"/>
      </w:pPr>
      <w:r>
        <w:t xml:space="preserve">4.3 Phase 3: Real-World Simulation</w:t>
      </w:r>
    </w:p>
    <w:p>
      <w:pPr>
        <w:pStyle w:val="FirstParagraph"/>
      </w:pPr>
      <w:r>
        <w:t xml:space="preserve">A pilot application will be deployed to a limited user group in Yangon. This phase will evaluate the system's performance under actual usage patterns, including peak hours and varying network qualities.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distributed logging and monitoring tools. Key performance indicators (KPIs) will be analyzed to determine the effectiveness of the Actor model in the Yangon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Measurement Interval</w:t>
            </w:r>
          </w:p>
        </w:tc>
      </w:tr>
      <w:tr>
        <w:tc>
          <w:tcPr/>
          <w:p>
            <w:pPr>
              <w:pStyle w:val="Compact"/>
              <w:jc w:val="left"/>
            </w:pPr>
            <w:r>
              <w:t xml:space="preserve">System Availability</w:t>
            </w:r>
          </w:p>
        </w:tc>
        <w:tc>
          <w:tcPr/>
          <w:p>
            <w:pPr>
              <w:pStyle w:val="Compact"/>
              <w:jc w:val="left"/>
            </w:pPr>
            <w:r>
              <w:t xml:space="preserve">&gt; 99.5%</w:t>
            </w:r>
          </w:p>
        </w:tc>
        <w:tc>
          <w:tcPr/>
          <w:p>
            <w:pPr>
              <w:pStyle w:val="Compact"/>
              <w:jc w:val="left"/>
            </w:pPr>
            <w:r>
              <w:t xml:space="preserve">Continuous</w:t>
            </w:r>
          </w:p>
        </w:tc>
      </w:tr>
      <w:tr>
        <w:tc>
          <w:tcPr/>
          <w:p>
            <w:pPr>
              <w:pStyle w:val="Compact"/>
              <w:jc w:val="left"/>
            </w:pPr>
            <w:r>
              <w:t xml:space="preserve">Message Delivery Rate</w:t>
            </w:r>
          </w:p>
        </w:tc>
        <w:tc>
          <w:tcPr/>
          <w:p>
            <w:pPr>
              <w:pStyle w:val="Compact"/>
              <w:jc w:val="left"/>
            </w:pPr>
            <w:r>
              <w:t xml:space="preserve">&gt; 99.9%</w:t>
            </w:r>
          </w:p>
        </w:tc>
        <w:tc>
          <w:tcPr/>
          <w:p>
            <w:pPr>
              <w:pStyle w:val="Compact"/>
              <w:jc w:val="left"/>
            </w:pPr>
            <w:r>
              <w:t xml:space="preserve">Every 5 minutes</w:t>
            </w:r>
          </w:p>
        </w:tc>
      </w:tr>
      <w:tr>
        <w:tc>
          <w:tcPr/>
          <w:p>
            <w:pPr>
              <w:pStyle w:val="Compact"/>
              <w:jc w:val="left"/>
            </w:pPr>
            <w:r>
              <w:t xml:space="preserve">Average Response Time</w:t>
            </w:r>
          </w:p>
        </w:tc>
        <w:tc>
          <w:tcPr/>
          <w:p>
            <w:pPr>
              <w:pStyle w:val="Compact"/>
              <w:jc w:val="left"/>
            </w:pPr>
            <w:r>
              <w:t xml:space="preserve">&lt; 200ms</w:t>
            </w:r>
          </w:p>
        </w:tc>
        <w:tc>
          <w:tcPr/>
          <w:p>
            <w:pPr>
              <w:pStyle w:val="Compact"/>
              <w:jc w:val="left"/>
            </w:pPr>
            <w:r>
              <w:t xml:space="preserve">Every 1 minute</w:t>
            </w:r>
          </w:p>
        </w:tc>
      </w:tr>
    </w:tbl>
    <w:bookmarkEnd w:id="30"/>
    <w:bookmarkStart w:id="31" w:name="risk-management"/>
    <w:p>
      <w:pPr>
        <w:pStyle w:val="Heading2"/>
      </w:pPr>
      <w:r>
        <w:t xml:space="preserve">6. Risk Management</w:t>
      </w:r>
    </w:p>
    <w:p>
      <w:pPr>
        <w:pStyle w:val="FirstParagraph"/>
      </w:pPr>
      <w:r>
        <w:t xml:space="preserve">Potential risks and mitigation strategies include:</w:t>
      </w:r>
    </w:p>
    <w:p>
      <w:pPr>
        <w:numPr>
          <w:ilvl w:val="0"/>
          <w:numId w:val="1005"/>
        </w:numPr>
        <w:pStyle w:val="Compact"/>
      </w:pPr>
      <w:r>
        <w:rPr>
          <w:bCs/>
          <w:b/>
        </w:rPr>
        <w:t xml:space="preserve">Power Outages:</w:t>
      </w:r>
      <w:r>
        <w:t xml:space="preserve"> </w:t>
      </w:r>
      <w:r>
        <w:t xml:space="preserve">Use of UPS and generators for critical nodes.</w:t>
      </w:r>
    </w:p>
    <w:p>
      <w:pPr>
        <w:numPr>
          <w:ilvl w:val="0"/>
          <w:numId w:val="1005"/>
        </w:numPr>
        <w:pStyle w:val="Compact"/>
      </w:pPr>
      <w:r>
        <w:rPr>
          <w:bCs/>
          <w:b/>
        </w:rPr>
        <w:t xml:space="preserve">Network Censorship:</w:t>
      </w:r>
      <w:r>
        <w:t xml:space="preserve"> </w:t>
      </w:r>
      <w:r>
        <w:t xml:space="preserve">Implementation of encrypted communication channels.</w:t>
      </w:r>
    </w:p>
    <w:p>
      <w:pPr>
        <w:numPr>
          <w:ilvl w:val="0"/>
          <w:numId w:val="1005"/>
        </w:numPr>
        <w:pStyle w:val="Compact"/>
      </w:pPr>
      <w:r>
        <w:rPr>
          <w:bCs/>
          <w:b/>
        </w:rPr>
        <w:t xml:space="preserve">Hardware Failure:</w:t>
      </w:r>
      <w:r>
        <w:t xml:space="preserve"> </w:t>
      </w:r>
      <w:r>
        <w:t xml:space="preserve">Redundant hardware and automated failover mechanisms.</w:t>
      </w:r>
    </w:p>
    <w:bookmarkEnd w:id="31"/>
    <w:bookmarkStart w:id="32" w:name="ethical-considerations"/>
    <w:p>
      <w:pPr>
        <w:pStyle w:val="Heading2"/>
      </w:pPr>
      <w:r>
        <w:t xml:space="preserve">7. Ethical Considerations</w:t>
      </w:r>
    </w:p>
    <w:p>
      <w:pPr>
        <w:pStyle w:val="FirstParagraph"/>
      </w:pPr>
      <w:r>
        <w:t xml:space="preserve">The experiment will adhere to ethical guidelines for human subjects research, ensuring informed consent from participants in the real-world simulation phase. Data privacy will be maintained through anonymization and secure storage practices.</w:t>
      </w:r>
    </w:p>
    <w:bookmarkEnd w:id="32"/>
    <w:bookmarkStart w:id="33" w:name="conclusion"/>
    <w:p>
      <w:pPr>
        <w:pStyle w:val="Heading2"/>
      </w:pPr>
      <w:r>
        <w:t xml:space="preserve">8. Conclusion</w:t>
      </w:r>
    </w:p>
    <w:p>
      <w:pPr>
        <w:pStyle w:val="FirstParagraph"/>
      </w:pPr>
      <w:r>
        <w:t xml:space="preserve">This Experiment Protocol provides a comprehensive framework for evaluating Actor-based systems in Yangon, Myanmar. By addressing the unique challenges of the local environment, this study aims to contribute valuable insights into the deployment of resilient distributed systems in emerging markets.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Actor-Based System Deployment in Myanmar Yangon</dc:title>
  <dc:creator/>
  <dc:language>en</dc:language>
  <cp:keywords/>
  <dcterms:created xsi:type="dcterms:W3CDTF">2026-10-10T01:02:55Z</dcterms:created>
  <dcterms:modified xsi:type="dcterms:W3CDTF">2026-10-10T01:02:55Z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