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p>
    <w:bookmarkStart w:id="20" w:name="Xa3ffeac7900618cca3bd0989ae75a2c1425d0eb"/>
    <w:p>
      <w:pPr>
        <w:pStyle w:val="Heading1"/>
      </w:pPr>
      <w:r>
        <w:t xml:space="preserve">Experiment Protocol: Aerospace Engineering Research</w:t>
      </w:r>
    </w:p>
    <w:p>
      <w:pPr>
        <w:pStyle w:val="FirstParagraph"/>
      </w:pPr>
      <w:r>
        <w:rPr>
          <w:bCs/>
          <w:b/>
        </w:rPr>
        <w:t xml:space="preserve">Location:</w:t>
      </w:r>
      <w:r>
        <w:t xml:space="preserve"> </w:t>
      </w:r>
      <w:r>
        <w:t xml:space="preserve">Australia Melbourne</w:t>
      </w:r>
    </w:p>
    <w:p>
      <w:pPr>
        <w:pStyle w:val="BodyText"/>
      </w:pPr>
      <w:r>
        <w:rPr>
          <w:bCs/>
          <w:b/>
        </w:rPr>
        <w:t xml:space="preserve">Prepared by:</w:t>
      </w:r>
      <w:r>
        <w:t xml:space="preserve"> </w:t>
      </w:r>
      <w:r>
        <w:t xml:space="preserve">Aerospace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an Aerospace Engineer conducting research in Australia Melbourne. The primary objective of this protocol is to ensure that all experiments are conducted safely, efficiently, and in compliance with local regulations and industry standards. Melbourne, being a hub for aerospace innovation and research, provides an ideal environment for such activities.</w:t>
      </w:r>
    </w:p>
    <w:bookmarkEnd w:id="21"/>
    <w:bookmarkStart w:id="22" w:name="objectives"/>
    <w:p>
      <w:pPr>
        <w:pStyle w:val="Heading2"/>
      </w:pPr>
      <w:r>
        <w:t xml:space="preserve">2. Objectives</w:t>
      </w:r>
    </w:p>
    <w:p>
      <w:pPr>
        <w:pStyle w:val="FirstParagraph"/>
      </w:pPr>
      <w:r>
        <w:t xml:space="preserve">The main objectives of this experiment protocol are:</w:t>
      </w:r>
    </w:p>
    <w:p>
      <w:pPr>
        <w:numPr>
          <w:ilvl w:val="0"/>
          <w:numId w:val="1001"/>
        </w:numPr>
        <w:pStyle w:val="Compact"/>
      </w:pPr>
      <w:r>
        <w:t xml:space="preserve">To define the scope and goals of the aerospace engineering research.</w:t>
      </w:r>
    </w:p>
    <w:p>
      <w:pPr>
        <w:numPr>
          <w:ilvl w:val="0"/>
          <w:numId w:val="1001"/>
        </w:numPr>
        <w:pStyle w:val="Compact"/>
      </w:pPr>
      <w:r>
        <w:t xml:space="preserve">To establish clear procedures for conducting experiments.</w:t>
      </w:r>
    </w:p>
    <w:p>
      <w:pPr>
        <w:numPr>
          <w:ilvl w:val="0"/>
          <w:numId w:val="1001"/>
        </w:numPr>
        <w:pStyle w:val="Compact"/>
      </w:pPr>
      <w:r>
        <w:t xml:space="preserve">To ensure the safety of all personnel involved.</w:t>
      </w:r>
    </w:p>
    <w:p>
      <w:pPr>
        <w:numPr>
          <w:ilvl w:val="0"/>
          <w:numId w:val="1001"/>
        </w:numPr>
        <w:pStyle w:val="Compact"/>
      </w:pPr>
      <w:r>
        <w:t xml:space="preserve">To comply with Australian and Melbourne-specific regulations.</w:t>
      </w:r>
    </w:p>
    <w:p>
      <w:pPr>
        <w:numPr>
          <w:ilvl w:val="0"/>
          <w:numId w:val="1001"/>
        </w:numPr>
        <w:pStyle w:val="Compact"/>
      </w:pPr>
      <w:r>
        <w:t xml:space="preserve">To document all findings accurately for future reference and analysis.</w:t>
      </w:r>
    </w:p>
    <w:bookmarkEnd w:id="22"/>
    <w:bookmarkStart w:id="23" w:name="scope"/>
    <w:p>
      <w:pPr>
        <w:pStyle w:val="Heading2"/>
      </w:pPr>
      <w:r>
        <w:t xml:space="preserve">3. Scope</w:t>
      </w:r>
    </w:p>
    <w:p>
      <w:pPr>
        <w:pStyle w:val="FirstParagraph"/>
      </w:pPr>
      <w:r>
        <w:t xml:space="preserve">This protocol applies to all Aerospace Engineers and support staff involved in the research project located in Australia Melbourne. It covers all phases of the experiment, from initial planning and setup to execution, data collection, and analysis.</w:t>
      </w:r>
    </w:p>
    <w:bookmarkEnd w:id="23"/>
    <w:bookmarkStart w:id="24" w:name="responsibilities"/>
    <w:p>
      <w:pPr>
        <w:pStyle w:val="Heading2"/>
      </w:pPr>
      <w:r>
        <w:t xml:space="preserve">4. Responsibilities</w:t>
      </w:r>
    </w:p>
    <w:p>
      <w:pPr>
        <w:pStyle w:val="FirstParagraph"/>
      </w:pPr>
      <w:r>
        <w:rPr>
          <w:bCs/>
          <w:b/>
        </w:rPr>
        <w:t xml:space="preserve">Aerospace Engineer:</w:t>
      </w:r>
    </w:p>
    <w:p>
      <w:pPr>
        <w:numPr>
          <w:ilvl w:val="0"/>
          <w:numId w:val="1002"/>
        </w:numPr>
        <w:pStyle w:val="Compact"/>
      </w:pPr>
      <w:r>
        <w:t xml:space="preserve">Design and plan the experiment.</w:t>
      </w:r>
    </w:p>
    <w:p>
      <w:pPr>
        <w:numPr>
          <w:ilvl w:val="0"/>
          <w:numId w:val="1002"/>
        </w:numPr>
        <w:pStyle w:val="Compact"/>
      </w:pPr>
      <w:r>
        <w:t xml:space="preserve">Ensure all equipment is calibrated and functioning correctly.</w:t>
      </w:r>
    </w:p>
    <w:p>
      <w:pPr>
        <w:numPr>
          <w:ilvl w:val="0"/>
          <w:numId w:val="1002"/>
        </w:numPr>
        <w:pStyle w:val="Compact"/>
      </w:pPr>
      <w:r>
        <w:t xml:space="preserve">Conduct the experiment according to the protocol.</w:t>
      </w:r>
    </w:p>
    <w:p>
      <w:pPr>
        <w:numPr>
          <w:ilvl w:val="0"/>
          <w:numId w:val="1002"/>
        </w:numPr>
        <w:pStyle w:val="Compact"/>
      </w:pPr>
      <w:r>
        <w:t xml:space="preserve">Collect and analyze data.</w:t>
      </w:r>
    </w:p>
    <w:p>
      <w:pPr>
        <w:numPr>
          <w:ilvl w:val="0"/>
          <w:numId w:val="1002"/>
        </w:numPr>
        <w:pStyle w:val="Compact"/>
      </w:pPr>
      <w:r>
        <w:t xml:space="preserve">Report findings and any deviations from the protocol.</w:t>
      </w:r>
    </w:p>
    <w:p>
      <w:pPr>
        <w:pStyle w:val="FirstParagraph"/>
      </w:pPr>
      <w:r>
        <w:rPr>
          <w:bCs/>
          <w:b/>
        </w:rPr>
        <w:t xml:space="preserve">Support Staff:</w:t>
      </w:r>
    </w:p>
    <w:p>
      <w:pPr>
        <w:numPr>
          <w:ilvl w:val="0"/>
          <w:numId w:val="1003"/>
        </w:numPr>
        <w:pStyle w:val="Compact"/>
      </w:pPr>
      <w:r>
        <w:t xml:space="preserve">Assist in setting up and maintaining the experimental environment.</w:t>
      </w:r>
    </w:p>
    <w:p>
      <w:pPr>
        <w:numPr>
          <w:ilvl w:val="0"/>
          <w:numId w:val="1003"/>
        </w:numPr>
        <w:pStyle w:val="Compact"/>
      </w:pPr>
      <w:r>
        <w:t xml:space="preserve">Ensure safety protocols are followed.</w:t>
      </w:r>
    </w:p>
    <w:p>
      <w:pPr>
        <w:numPr>
          <w:ilvl w:val="0"/>
          <w:numId w:val="1003"/>
        </w:numPr>
        <w:pStyle w:val="Compact"/>
      </w:pPr>
      <w:r>
        <w:t xml:space="preserve">Provide logistical support as needed.</w:t>
      </w:r>
    </w:p>
    <w:bookmarkEnd w:id="24"/>
    <w:bookmarkStart w:id="25" w:name="safety-procedures"/>
    <w:p>
      <w:pPr>
        <w:pStyle w:val="Heading2"/>
      </w:pPr>
      <w:r>
        <w:t xml:space="preserve">5. Safety Procedures</w:t>
      </w:r>
    </w:p>
    <w:p>
      <w:pPr>
        <w:pStyle w:val="FirstParagraph"/>
      </w:pPr>
      <w:r>
        <w:t xml:space="preserve">Safety is paramount in all aerospace engineering experiments. The following procedures must be strictly followed:</w:t>
      </w:r>
    </w:p>
    <w:p>
      <w:pPr>
        <w:numPr>
          <w:ilvl w:val="0"/>
          <w:numId w:val="1004"/>
        </w:numPr>
        <w:pStyle w:val="Compact"/>
      </w:pPr>
      <w:r>
        <w:t xml:space="preserve">All personnel must undergo safety training specific to the experiment.</w:t>
      </w:r>
    </w:p>
    <w:p>
      <w:pPr>
        <w:numPr>
          <w:ilvl w:val="0"/>
          <w:numId w:val="1004"/>
        </w:numPr>
        <w:pStyle w:val="Compact"/>
      </w:pPr>
      <w:r>
        <w:t xml:space="preserve">Personal protective equipment (PPE) must be worn at all times in the laboratory.</w:t>
      </w:r>
    </w:p>
    <w:p>
      <w:pPr>
        <w:numPr>
          <w:ilvl w:val="0"/>
          <w:numId w:val="1004"/>
        </w:numPr>
        <w:pStyle w:val="Compact"/>
      </w:pPr>
      <w:r>
        <w:t xml:space="preserve">Emergency procedures must be clearly posted and understood by all.</w:t>
      </w:r>
    </w:p>
    <w:p>
      <w:pPr>
        <w:numPr>
          <w:ilvl w:val="0"/>
          <w:numId w:val="1004"/>
        </w:numPr>
        <w:pStyle w:val="Compact"/>
      </w:pPr>
      <w:r>
        <w:t xml:space="preserve">Regular safety inspections must be conducted.</w:t>
      </w:r>
    </w:p>
    <w:p>
      <w:pPr>
        <w:numPr>
          <w:ilvl w:val="0"/>
          <w:numId w:val="1004"/>
        </w:numPr>
        <w:pStyle w:val="Compact"/>
      </w:pPr>
      <w:r>
        <w:t xml:space="preserve">Any incidents or near-misses must be reported immediately.</w:t>
      </w:r>
    </w:p>
    <w:bookmarkEnd w:id="25"/>
    <w:bookmarkStart w:id="26" w:name="equipment-and-materials"/>
    <w:p>
      <w:pPr>
        <w:pStyle w:val="Heading2"/>
      </w:pPr>
      <w:r>
        <w:t xml:space="preserve">6. Equipment and Materials</w:t>
      </w:r>
    </w:p>
    <w:p>
      <w:pPr>
        <w:pStyle w:val="FirstParagraph"/>
      </w:pPr>
      <w:r>
        <w:t xml:space="preserve">The following equipment and materials are required for the experiment:</w:t>
      </w:r>
    </w:p>
    <w:p>
      <w:pPr>
        <w:numPr>
          <w:ilvl w:val="0"/>
          <w:numId w:val="1005"/>
        </w:numPr>
        <w:pStyle w:val="Compact"/>
      </w:pPr>
      <w:r>
        <w:t xml:space="preserve">Wind tunnel facilities available in Melbourne.</w:t>
      </w:r>
    </w:p>
    <w:p>
      <w:pPr>
        <w:numPr>
          <w:ilvl w:val="0"/>
          <w:numId w:val="1005"/>
        </w:numPr>
        <w:pStyle w:val="Compact"/>
      </w:pPr>
      <w:r>
        <w:t xml:space="preserve">Computational fluid dynamics (CFD) software.</w:t>
      </w:r>
    </w:p>
    <w:p>
      <w:pPr>
        <w:numPr>
          <w:ilvl w:val="0"/>
          <w:numId w:val="1005"/>
        </w:numPr>
        <w:pStyle w:val="Compact"/>
      </w:pPr>
      <w:r>
        <w:t xml:space="preserve">Structural testing equipment.</w:t>
      </w:r>
    </w:p>
    <w:p>
      <w:pPr>
        <w:numPr>
          <w:ilvl w:val="0"/>
          <w:numId w:val="1005"/>
        </w:numPr>
        <w:pStyle w:val="Compact"/>
      </w:pPr>
      <w:r>
        <w:t xml:space="preserve">Data acquisition systems.</w:t>
      </w:r>
    </w:p>
    <w:p>
      <w:pPr>
        <w:numPr>
          <w:ilvl w:val="0"/>
          <w:numId w:val="1005"/>
        </w:numPr>
        <w:pStyle w:val="Compact"/>
      </w:pPr>
      <w:r>
        <w:t xml:space="preserve">Calibrated instruments and sensors.</w:t>
      </w:r>
    </w:p>
    <w:bookmarkEnd w:id="26"/>
    <w:bookmarkStart w:id="27" w:name="experimental-procedure"/>
    <w:p>
      <w:pPr>
        <w:pStyle w:val="Heading2"/>
      </w:pPr>
      <w:r>
        <w:t xml:space="preserve">7. Experimental Procedure</w:t>
      </w:r>
    </w:p>
    <w:p>
      <w:pPr>
        <w:pStyle w:val="FirstParagraph"/>
      </w:pPr>
      <w:r>
        <w:rPr>
          <w:bCs/>
          <w:b/>
        </w:rPr>
        <w:t xml:space="preserve">7.1 Preparation:</w:t>
      </w:r>
    </w:p>
    <w:p>
      <w:pPr>
        <w:numPr>
          <w:ilvl w:val="0"/>
          <w:numId w:val="1006"/>
        </w:numPr>
        <w:pStyle w:val="Compact"/>
      </w:pPr>
      <w:r>
        <w:t xml:space="preserve">Review the experiment design and objectives.</w:t>
      </w:r>
    </w:p>
    <w:p>
      <w:pPr>
        <w:numPr>
          <w:ilvl w:val="0"/>
          <w:numId w:val="1006"/>
        </w:numPr>
        <w:pStyle w:val="Compact"/>
      </w:pPr>
      <w:r>
        <w:t xml:space="preserve">Ensure all equipment is calibrated and ready for use.</w:t>
      </w:r>
    </w:p>
    <w:p>
      <w:pPr>
        <w:numPr>
          <w:ilvl w:val="0"/>
          <w:numId w:val="1006"/>
        </w:numPr>
        <w:pStyle w:val="Compact"/>
      </w:pPr>
      <w:r>
        <w:t xml:space="preserve">Conduct a safety briefing with all personnel.</w:t>
      </w:r>
    </w:p>
    <w:p>
      <w:pPr>
        <w:pStyle w:val="FirstParagraph"/>
      </w:pPr>
      <w:r>
        <w:rPr>
          <w:bCs/>
          <w:b/>
        </w:rPr>
        <w:t xml:space="preserve">7.2 Execution:</w:t>
      </w:r>
    </w:p>
    <w:p>
      <w:pPr>
        <w:numPr>
          <w:ilvl w:val="0"/>
          <w:numId w:val="1007"/>
        </w:numPr>
        <w:pStyle w:val="Compact"/>
      </w:pPr>
      <w:r>
        <w:t xml:space="preserve">Set up the experimental environment according to the design specifications.</w:t>
      </w:r>
    </w:p>
    <w:p>
      <w:pPr>
        <w:numPr>
          <w:ilvl w:val="0"/>
          <w:numId w:val="1007"/>
        </w:numPr>
        <w:pStyle w:val="Compact"/>
      </w:pPr>
      <w:r>
        <w:t xml:space="preserve">Begin data collection using the designated instruments and sensors.</w:t>
      </w:r>
    </w:p>
    <w:p>
      <w:pPr>
        <w:numPr>
          <w:ilvl w:val="0"/>
          <w:numId w:val="1007"/>
        </w:numPr>
        <w:pStyle w:val="Compact"/>
      </w:pPr>
      <w:r>
        <w:t xml:space="preserve">Monitor the experiment closely for any anomalies or issues.</w:t>
      </w:r>
    </w:p>
    <w:p>
      <w:pPr>
        <w:numPr>
          <w:ilvl w:val="0"/>
          <w:numId w:val="1007"/>
        </w:numPr>
        <w:pStyle w:val="Compact"/>
      </w:pPr>
      <w:r>
        <w:t xml:space="preserve">Record all observations and data systematically.</w:t>
      </w:r>
    </w:p>
    <w:p>
      <w:pPr>
        <w:pStyle w:val="FirstParagraph"/>
      </w:pPr>
      <w:r>
        <w:rPr>
          <w:bCs/>
          <w:b/>
        </w:rPr>
        <w:t xml:space="preserve">7.3 Data Collection:</w:t>
      </w:r>
    </w:p>
    <w:p>
      <w:pPr>
        <w:numPr>
          <w:ilvl w:val="0"/>
          <w:numId w:val="1008"/>
        </w:numPr>
        <w:pStyle w:val="Compact"/>
      </w:pPr>
      <w:r>
        <w:t xml:space="preserve">Use standardized forms and digital tools for data recording.</w:t>
      </w:r>
    </w:p>
    <w:p>
      <w:pPr>
        <w:numPr>
          <w:ilvl w:val="0"/>
          <w:numId w:val="1008"/>
        </w:numPr>
        <w:pStyle w:val="Compact"/>
      </w:pPr>
      <w:r>
        <w:t xml:space="preserve">Ensure data integrity by double-checking entries.</w:t>
      </w:r>
    </w:p>
    <w:p>
      <w:pPr>
        <w:numPr>
          <w:ilvl w:val="0"/>
          <w:numId w:val="1008"/>
        </w:numPr>
        <w:pStyle w:val="Compact"/>
      </w:pPr>
      <w:r>
        <w:t xml:space="preserve">Store data securely and back it up regularly.</w:t>
      </w:r>
    </w:p>
    <w:bookmarkEnd w:id="27"/>
    <w:bookmarkStart w:id="28" w:name="data-analysis"/>
    <w:p>
      <w:pPr>
        <w:pStyle w:val="Heading2"/>
      </w:pPr>
      <w:r>
        <w:t xml:space="preserve">8. Data Analysis</w:t>
      </w:r>
    </w:p>
    <w:p>
      <w:pPr>
        <w:pStyle w:val="FirstParagraph"/>
      </w:pPr>
      <w:r>
        <w:t xml:space="preserve">After the experiment is completed, the data must be analyzed to draw meaningful conclusions. The Aerospace Engineer will:</w:t>
      </w:r>
    </w:p>
    <w:p>
      <w:pPr>
        <w:numPr>
          <w:ilvl w:val="0"/>
          <w:numId w:val="1009"/>
        </w:numPr>
        <w:pStyle w:val="Compact"/>
      </w:pPr>
      <w:r>
        <w:t xml:space="preserve">Use statistical methods to analyze the data.</w:t>
      </w:r>
    </w:p>
    <w:p>
      <w:pPr>
        <w:numPr>
          <w:ilvl w:val="0"/>
          <w:numId w:val="1009"/>
        </w:numPr>
        <w:pStyle w:val="Compact"/>
      </w:pPr>
      <w:r>
        <w:t xml:space="preserve">Compare results with theoretical predictions and previous studies.</w:t>
      </w:r>
    </w:p>
    <w:p>
      <w:pPr>
        <w:numPr>
          <w:ilvl w:val="0"/>
          <w:numId w:val="1009"/>
        </w:numPr>
        <w:pStyle w:val="Compact"/>
      </w:pPr>
      <w:r>
        <w:t xml:space="preserve">Identify any trends or patterns in the data.</w:t>
      </w:r>
    </w:p>
    <w:p>
      <w:pPr>
        <w:numPr>
          <w:ilvl w:val="0"/>
          <w:numId w:val="1009"/>
        </w:numPr>
        <w:pStyle w:val="Compact"/>
      </w:pPr>
      <w:r>
        <w:t xml:space="preserve">Document the analysis process and findings.</w:t>
      </w:r>
    </w:p>
    <w:bookmarkEnd w:id="28"/>
    <w:bookmarkStart w:id="29" w:name="reporting"/>
    <w:p>
      <w:pPr>
        <w:pStyle w:val="Heading2"/>
      </w:pPr>
      <w:r>
        <w:t xml:space="preserve">9. Reporting</w:t>
      </w:r>
    </w:p>
    <w:p>
      <w:pPr>
        <w:pStyle w:val="FirstParagraph"/>
      </w:pPr>
      <w:r>
        <w:t xml:space="preserve">A comprehensive report must be prepared detailing the experiment's objectives, methods, results, and conclusions. The report should include:</w:t>
      </w:r>
    </w:p>
    <w:p>
      <w:pPr>
        <w:numPr>
          <w:ilvl w:val="0"/>
          <w:numId w:val="1010"/>
        </w:numPr>
        <w:pStyle w:val="Compact"/>
      </w:pPr>
      <w:r>
        <w:t xml:space="preserve">An executive summary.</w:t>
      </w:r>
    </w:p>
    <w:p>
      <w:pPr>
        <w:numPr>
          <w:ilvl w:val="0"/>
          <w:numId w:val="1010"/>
        </w:numPr>
        <w:pStyle w:val="Compact"/>
      </w:pPr>
      <w:r>
        <w:t xml:space="preserve">A detailed description of the experimental setup and procedures.</w:t>
      </w:r>
    </w:p>
    <w:p>
      <w:pPr>
        <w:numPr>
          <w:ilvl w:val="0"/>
          <w:numId w:val="1010"/>
        </w:numPr>
        <w:pStyle w:val="Compact"/>
      </w:pPr>
      <w:r>
        <w:t xml:space="preserve">Data analysis and interpretation.</w:t>
      </w:r>
    </w:p>
    <w:p>
      <w:pPr>
        <w:numPr>
          <w:ilvl w:val="0"/>
          <w:numId w:val="1010"/>
        </w:numPr>
        <w:pStyle w:val="Compact"/>
      </w:pPr>
      <w:r>
        <w:t xml:space="preserve">Conclusions and recommendations for future research.</w:t>
      </w:r>
    </w:p>
    <w:p>
      <w:pPr>
        <w:numPr>
          <w:ilvl w:val="0"/>
          <w:numId w:val="1010"/>
        </w:numPr>
        <w:pStyle w:val="Compact"/>
      </w:pPr>
      <w:r>
        <w:t xml:space="preserve">Any deviations from the protocol and their impact on the results.</w:t>
      </w:r>
    </w:p>
    <w:bookmarkEnd w:id="29"/>
    <w:bookmarkStart w:id="30" w:name="compliance-and-regulations"/>
    <w:p>
      <w:pPr>
        <w:pStyle w:val="Heading2"/>
      </w:pPr>
      <w:r>
        <w:t xml:space="preserve">10. Compliance and Regulations</w:t>
      </w:r>
    </w:p>
    <w:p>
      <w:pPr>
        <w:pStyle w:val="FirstParagraph"/>
      </w:pPr>
      <w:r>
        <w:t xml:space="preserve">All experiments must comply with relevant Australian and Melbourne-specific regulations, including:</w:t>
      </w:r>
    </w:p>
    <w:p>
      <w:pPr>
        <w:numPr>
          <w:ilvl w:val="0"/>
          <w:numId w:val="1011"/>
        </w:numPr>
        <w:pStyle w:val="Compact"/>
      </w:pPr>
      <w:r>
        <w:t xml:space="preserve">Work Health and Safety (WHS) regulations.</w:t>
      </w:r>
    </w:p>
    <w:p>
      <w:pPr>
        <w:numPr>
          <w:ilvl w:val="0"/>
          <w:numId w:val="1011"/>
        </w:numPr>
        <w:pStyle w:val="Compact"/>
      </w:pPr>
      <w:r>
        <w:t xml:space="preserve">Environmental protection laws.</w:t>
      </w:r>
    </w:p>
    <w:p>
      <w:pPr>
        <w:numPr>
          <w:ilvl w:val="0"/>
          <w:numId w:val="1011"/>
        </w:numPr>
        <w:pStyle w:val="Compact"/>
      </w:pPr>
      <w:r>
        <w:t xml:space="preserve">Industry standards for aerospace engineering.</w:t>
      </w:r>
    </w:p>
    <w:p>
      <w:pPr>
        <w:numPr>
          <w:ilvl w:val="0"/>
          <w:numId w:val="1011"/>
        </w:numPr>
        <w:pStyle w:val="Compact"/>
      </w:pPr>
      <w:r>
        <w:t xml:space="preserve">Institutional policies and guidelines.</w:t>
      </w:r>
    </w:p>
    <w:bookmarkEnd w:id="30"/>
    <w:bookmarkStart w:id="31" w:name="conclusion"/>
    <w:p>
      <w:pPr>
        <w:pStyle w:val="Heading2"/>
      </w:pPr>
      <w:r>
        <w:t xml:space="preserve">11. Conclusion</w:t>
      </w:r>
    </w:p>
    <w:p>
      <w:pPr>
        <w:pStyle w:val="FirstParagraph"/>
      </w:pPr>
      <w:r>
        <w:t xml:space="preserve">This Experiment Protocol provides a structured approach for conducting aerospace engineering research in Australia Melbourne. By adhering to these guidelines, the Aerospace Engineer can ensure that the experiment is conducted safely, efficiently, and in compliance with all relevant regulations. The findings from this research will contribute to the advancement of aerospace technology and innovation in Melbourne and beyond.</w:t>
      </w:r>
    </w:p>
    <w:bookmarkEnd w:id="31"/>
    <w:p>
      <w:pPr>
        <w:pStyle w:val="BodyText"/>
      </w:pPr>
      <w:r>
        <w:rPr>
          <w:bCs/>
          <w:b/>
        </w:rPr>
        <w:t xml:space="preserve">End of Document</w:t>
      </w:r>
    </w:p>
    <w:p>
      <w:pPr>
        <w:pStyle w:val="BodyText"/>
      </w:pPr>
      <w:r>
        <w:t xml:space="preserve">For further information, please contact the Aerospace Engineering Department in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dc:title>
  <dc:creator/>
  <dc:language>en</dc:language>
  <cp:keywords/>
  <dcterms:created xsi:type="dcterms:W3CDTF">2026-10-10T02:38:32Z</dcterms:created>
  <dcterms:modified xsi:type="dcterms:W3CDTF">2026-10-10T02:38:32Z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