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High-Fidelity Wind Tunnel Testing of Composite Wing Structures for Urban Air Mobility Vehicles</w:t>
      </w:r>
    </w:p>
    <w:p>
      <w:pPr>
        <w:pStyle w:val="BodyText"/>
      </w:pPr>
      <w:r>
        <w:rPr>
          <w:bCs/>
          <w:b/>
        </w:rPr>
        <w:t xml:space="preserve">Location:</w:t>
      </w:r>
      <w:r>
        <w:t xml:space="preserve"> </w:t>
      </w:r>
      <w:r>
        <w:t xml:space="preserve">Canada Toronto, Ontario</w:t>
      </w:r>
    </w:p>
    <w:p>
      <w:pPr>
        <w:pStyle w:val="BodyText"/>
      </w:pPr>
      <w:r>
        <w:rPr>
          <w:bCs/>
          <w:b/>
        </w:rPr>
        <w:t xml:space="preserve">Lead Role:</w:t>
      </w:r>
      <w:r>
        <w:t xml:space="preserve"> </w:t>
      </w:r>
      <w:r>
        <w:t xml:space="preserve">Aerospace Engineer</w:t>
      </w:r>
    </w:p>
    <w:p>
      <w:pPr>
        <w:pStyle w:val="BodyText"/>
      </w:pPr>
      <w:r>
        <w:rPr>
          <w:bCs/>
          <w:b/>
        </w:rPr>
        <w:t xml:space="preserve">Protocol ID:</w:t>
      </w:r>
      <w:r>
        <w:t xml:space="preserve"> </w:t>
      </w:r>
      <w:r>
        <w:t xml:space="preserve">AE-TOR-2023-045</w:t>
      </w:r>
    </w:p>
    <w:p>
      <w:pPr>
        <w:pStyle w:val="BodyText"/>
      </w:pPr>
      <w:r>
        <w:rPr>
          <w:bCs/>
          <w:b/>
        </w:rPr>
        <w:t xml:space="preserve">Date:</w:t>
      </w:r>
      <w:r>
        <w:t xml:space="preserve"> </w:t>
      </w:r>
      <w:r>
        <w:t xml:space="preserve">October 15, 2023</w:t>
      </w:r>
    </w:p>
    <w:bookmarkEnd w:id="20"/>
    <w:p>
      <w:pPr>
        <w:pStyle w:val="BodyText"/>
      </w:pPr>
      <w:r>
        <w:t xml:space="preserve">1. Introduction</w:t>
      </w:r>
    </w:p>
    <w:p>
      <w:pPr>
        <w:pStyle w:val="BodyText"/>
      </w:pPr>
      <w:r>
        <w:t xml:space="preserve">This Experiment Protocol outlines the procedures, safety measures, and technical requirements for conducting wind tunnel tests on composite wing structures designed for urban air mobility (UAM) vehicles. The experiment is being conducted in Canada Toronto, leveraging the city's advanced aerospace research facilities and expertise. The primary objective is to evaluate the aerodynamic performance and structural integrity of the wing under various flight conditions, ensuring compliance with Transport Canada regulations and industry standards.</w:t>
      </w:r>
    </w:p>
    <w:p>
      <w:pPr>
        <w:pStyle w:val="BodyText"/>
      </w:pPr>
      <w:r>
        <w:t xml:space="preserve">The Aerospace Engineer leading this experiment is responsible for overseeing all aspects of the testing process, including experimental design, data collection, analysis, and reporting. This protocol ensures that the experiment is conducted systematically, safely, and in accordance with best practices in aerospace engineering.</w:t>
      </w:r>
    </w:p>
    <w:p>
      <w:pPr>
        <w:pStyle w:val="BodyText"/>
      </w:pPr>
      <w:r>
        <w:t xml:space="preserve">2. Objectives</w:t>
      </w:r>
    </w:p>
    <w:p>
      <w:pPr>
        <w:numPr>
          <w:ilvl w:val="0"/>
          <w:numId w:val="1001"/>
        </w:numPr>
        <w:pStyle w:val="Compact"/>
      </w:pPr>
      <w:r>
        <w:t xml:space="preserve">To measure lift, drag, and moment coefficients of the composite wing at different angles of attack and Reynolds numbers.</w:t>
      </w:r>
    </w:p>
    <w:p>
      <w:pPr>
        <w:numPr>
          <w:ilvl w:val="0"/>
          <w:numId w:val="1001"/>
        </w:numPr>
        <w:pStyle w:val="Compact"/>
      </w:pPr>
      <w:r>
        <w:t xml:space="preserve">To assess the structural response of the wing under aerodynamic loads, including deformation and stress distribution.</w:t>
      </w:r>
    </w:p>
    <w:p>
      <w:pPr>
        <w:numPr>
          <w:ilvl w:val="0"/>
          <w:numId w:val="1001"/>
        </w:numPr>
        <w:pStyle w:val="Compact"/>
      </w:pPr>
      <w:r>
        <w:t xml:space="preserve">To validate computational fluid dynamics (CFD) models against experimental data.</w:t>
      </w:r>
    </w:p>
    <w:p>
      <w:pPr>
        <w:numPr>
          <w:ilvl w:val="0"/>
          <w:numId w:val="1001"/>
        </w:numPr>
        <w:pStyle w:val="Compact"/>
      </w:pPr>
      <w:r>
        <w:t xml:space="preserve">To ensure the wing design meets the safety and performance requirements for UAM vehicles operating in Canada Toronto's urban environment.</w:t>
      </w:r>
    </w:p>
    <w:p>
      <w:pPr>
        <w:pStyle w:val="FirstParagraph"/>
      </w:pPr>
      <w:r>
        <w:t xml:space="preserve">3. Scope</w:t>
      </w:r>
    </w:p>
    <w:p>
      <w:pPr>
        <w:pStyle w:val="BodyText"/>
      </w:pPr>
      <w:r>
        <w:t xml:space="preserve">This protocol applies to all personnel involved in the experiment, including the Aerospace Engineer, technicians, data analysts, and safety officers. The experiment will be conducted at the University of Toronto Institute for Aerospace Studies (UTIAS) wind tunnel facility, located in Canada Toronto. The scope includes:</w:t>
      </w:r>
    </w:p>
    <w:p>
      <w:pPr>
        <w:numPr>
          <w:ilvl w:val="0"/>
          <w:numId w:val="1002"/>
        </w:numPr>
        <w:pStyle w:val="Compact"/>
      </w:pPr>
      <w:r>
        <w:t xml:space="preserve">Preparation and calibration of test equipment.</w:t>
      </w:r>
    </w:p>
    <w:p>
      <w:pPr>
        <w:numPr>
          <w:ilvl w:val="0"/>
          <w:numId w:val="1002"/>
        </w:numPr>
        <w:pStyle w:val="Compact"/>
      </w:pPr>
      <w:r>
        <w:t xml:space="preserve">Execution of wind tunnel tests.</w:t>
      </w:r>
    </w:p>
    <w:p>
      <w:pPr>
        <w:numPr>
          <w:ilvl w:val="0"/>
          <w:numId w:val="1002"/>
        </w:numPr>
        <w:pStyle w:val="Compact"/>
      </w:pPr>
      <w:r>
        <w:t xml:space="preserve">Data acquisition and processing.</w:t>
      </w:r>
    </w:p>
    <w:p>
      <w:pPr>
        <w:numPr>
          <w:ilvl w:val="0"/>
          <w:numId w:val="1002"/>
        </w:numPr>
        <w:pStyle w:val="Compact"/>
      </w:pPr>
      <w:r>
        <w:t xml:space="preserve">Safety monitoring and emergency response.</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Design the experiment, oversee testing, analyze data, ensure compliance with regulations, and report findings.</w:t>
            </w:r>
          </w:p>
        </w:tc>
      </w:tr>
      <w:tr>
        <w:tc>
          <w:tcPr/>
          <w:p>
            <w:pPr>
              <w:pStyle w:val="Compact"/>
              <w:jc w:val="left"/>
            </w:pPr>
            <w:r>
              <w:t xml:space="preserve">Technicians</w:t>
            </w:r>
          </w:p>
        </w:tc>
        <w:tc>
          <w:tcPr/>
          <w:p>
            <w:pPr>
              <w:pStyle w:val="Compact"/>
              <w:jc w:val="left"/>
            </w:pPr>
            <w:r>
              <w:t xml:space="preserve">Prepare and calibrate equipment, assist in test execution, and maintain records.</w:t>
            </w:r>
          </w:p>
        </w:tc>
      </w:tr>
      <w:tr>
        <w:tc>
          <w:tcPr/>
          <w:p>
            <w:pPr>
              <w:pStyle w:val="Compact"/>
              <w:jc w:val="left"/>
            </w:pPr>
            <w:r>
              <w:t xml:space="preserve">Safety Officer</w:t>
            </w:r>
          </w:p>
        </w:tc>
        <w:tc>
          <w:tcPr/>
          <w:p>
            <w:pPr>
              <w:pStyle w:val="Compact"/>
              <w:jc w:val="left"/>
            </w:pPr>
            <w:r>
              <w:t xml:space="preserve">Monitor safety protocols, conduct risk assessments, and manage emergency procedures.</w:t>
            </w:r>
          </w:p>
        </w:tc>
      </w:tr>
      <w:tr>
        <w:tc>
          <w:tcPr/>
          <w:p>
            <w:pPr>
              <w:pStyle w:val="Compact"/>
              <w:jc w:val="left"/>
            </w:pPr>
            <w:r>
              <w:t xml:space="preserve">Data Analyst</w:t>
            </w:r>
          </w:p>
        </w:tc>
        <w:tc>
          <w:tcPr/>
          <w:p>
            <w:pPr>
              <w:pStyle w:val="Compact"/>
              <w:jc w:val="left"/>
            </w:pPr>
            <w:r>
              <w:t xml:space="preserve">Process and interpret experimental data, validate results against CFD models.</w:t>
            </w:r>
          </w:p>
        </w:tc>
      </w:tr>
    </w:tbl>
    <w:p>
      <w:pPr>
        <w:pStyle w:val="BodyText"/>
      </w:pPr>
      <w:r>
        <w:t xml:space="preserve">5. Equipment and Materials</w:t>
      </w:r>
    </w:p>
    <w:p>
      <w:pPr>
        <w:numPr>
          <w:ilvl w:val="0"/>
          <w:numId w:val="1003"/>
        </w:numPr>
        <w:pStyle w:val="Compact"/>
      </w:pPr>
      <w:r>
        <w:t xml:space="preserve">Wind tunnel facility (UTIAS, Canada Toronto)</w:t>
      </w:r>
    </w:p>
    <w:p>
      <w:pPr>
        <w:numPr>
          <w:ilvl w:val="0"/>
          <w:numId w:val="1003"/>
        </w:numPr>
        <w:pStyle w:val="Compact"/>
      </w:pPr>
      <w:r>
        <w:t xml:space="preserve">Composite wing model (scaled to 1:5)</w:t>
      </w:r>
    </w:p>
    <w:p>
      <w:pPr>
        <w:numPr>
          <w:ilvl w:val="0"/>
          <w:numId w:val="1003"/>
        </w:numPr>
        <w:pStyle w:val="Compact"/>
      </w:pPr>
      <w:r>
        <w:t xml:space="preserve">Force balance system</w:t>
      </w:r>
    </w:p>
    <w:p>
      <w:pPr>
        <w:numPr>
          <w:ilvl w:val="0"/>
          <w:numId w:val="1003"/>
        </w:numPr>
        <w:pStyle w:val="Compact"/>
      </w:pPr>
      <w:r>
        <w:t xml:space="preserve">Pressure sensors</w:t>
      </w:r>
    </w:p>
    <w:p>
      <w:pPr>
        <w:numPr>
          <w:ilvl w:val="0"/>
          <w:numId w:val="1003"/>
        </w:numPr>
        <w:pStyle w:val="Compact"/>
      </w:pPr>
      <w:r>
        <w:t xml:space="preserve">Strain gauges</w:t>
      </w:r>
    </w:p>
    <w:p>
      <w:pPr>
        <w:numPr>
          <w:ilvl w:val="0"/>
          <w:numId w:val="1003"/>
        </w:numPr>
        <w:pStyle w:val="Compact"/>
      </w:pPr>
      <w:r>
        <w:t xml:space="preserve">High-speed cameras</w:t>
      </w:r>
    </w:p>
    <w:p>
      <w:pPr>
        <w:numPr>
          <w:ilvl w:val="0"/>
          <w:numId w:val="1003"/>
        </w:numPr>
        <w:pStyle w:val="Compact"/>
      </w:pPr>
      <w:r>
        <w:t xml:space="preserve">Data acquisition system</w:t>
      </w:r>
    </w:p>
    <w:p>
      <w:pPr>
        <w:numPr>
          <w:ilvl w:val="0"/>
          <w:numId w:val="1003"/>
        </w:numPr>
        <w:pStyle w:val="Compact"/>
      </w:pPr>
      <w:r>
        <w:t xml:space="preserve">Calibration tools</w:t>
      </w:r>
    </w:p>
    <w:p>
      <w:pPr>
        <w:pStyle w:val="FirstParagraph"/>
      </w:pPr>
      <w:r>
        <w:t xml:space="preserve">6. Procedure</w:t>
      </w:r>
    </w:p>
    <w:p>
      <w:pPr>
        <w:numPr>
          <w:ilvl w:val="0"/>
          <w:numId w:val="1004"/>
        </w:numPr>
        <w:pStyle w:val="Compact"/>
      </w:pPr>
      <w:r>
        <w:rPr>
          <w:bCs/>
          <w:b/>
        </w:rPr>
        <w:t xml:space="preserve">Preparation:</w:t>
      </w:r>
      <w:r>
        <w:t xml:space="preserve"> </w:t>
      </w:r>
      <w:r>
        <w:t xml:space="preserve">The Aerospace Engineer will review the experimental design and ensure all equipment is calibrated and ready for use. Safety checks will be conducted by the Safety Officer.</w:t>
      </w:r>
    </w:p>
    <w:p>
      <w:pPr>
        <w:numPr>
          <w:ilvl w:val="0"/>
          <w:numId w:val="1004"/>
        </w:numPr>
        <w:pStyle w:val="Compact"/>
      </w:pPr>
      <w:r>
        <w:rPr>
          <w:bCs/>
          <w:b/>
        </w:rPr>
        <w:t xml:space="preserve">Model Installation:</w:t>
      </w:r>
      <w:r>
        <w:t xml:space="preserve"> </w:t>
      </w:r>
      <w:r>
        <w:t xml:space="preserve">The composite wing model will be securely mounted in the wind tunnel test section. Alignment and positioning will be verified using precision tools.</w:t>
      </w:r>
    </w:p>
    <w:p>
      <w:pPr>
        <w:numPr>
          <w:ilvl w:val="0"/>
          <w:numId w:val="1004"/>
        </w:numPr>
        <w:pStyle w:val="Compact"/>
      </w:pPr>
      <w:r>
        <w:rPr>
          <w:bCs/>
          <w:b/>
        </w:rPr>
        <w:t xml:space="preserve">Baseline Testing:</w:t>
      </w:r>
      <w:r>
        <w:t xml:space="preserve"> </w:t>
      </w:r>
      <w:r>
        <w:t xml:space="preserve">Initial tests will be conducted at low wind speeds to establish baseline data and verify system functionality.</w:t>
      </w:r>
    </w:p>
    <w:p>
      <w:pPr>
        <w:numPr>
          <w:ilvl w:val="0"/>
          <w:numId w:val="1004"/>
        </w:numPr>
        <w:pStyle w:val="Compact"/>
      </w:pPr>
      <w:r>
        <w:rPr>
          <w:bCs/>
          <w:b/>
        </w:rPr>
        <w:t xml:space="preserve">Variable Testing:</w:t>
      </w:r>
      <w:r>
        <w:t xml:space="preserve"> </w:t>
      </w:r>
      <w:r>
        <w:t xml:space="preserve">Wind speed, angle of attack, and other parameters will be systematically varied to collect comprehensive data. Each test condition will be maintained for a sufficient duration to ensure stable readings.</w:t>
      </w:r>
    </w:p>
    <w:p>
      <w:pPr>
        <w:numPr>
          <w:ilvl w:val="0"/>
          <w:numId w:val="1004"/>
        </w:numPr>
        <w:pStyle w:val="Compact"/>
      </w:pPr>
      <w:r>
        <w:rPr>
          <w:bCs/>
          <w:b/>
        </w:rPr>
        <w:t xml:space="preserve">Data Collection:</w:t>
      </w:r>
      <w:r>
        <w:t xml:space="preserve"> </w:t>
      </w:r>
      <w:r>
        <w:t xml:space="preserve">All data will be recorded using the data acquisition system. High-speed cameras will capture visual data for post-test analysis.</w:t>
      </w:r>
    </w:p>
    <w:p>
      <w:pPr>
        <w:numPr>
          <w:ilvl w:val="0"/>
          <w:numId w:val="1004"/>
        </w:numPr>
        <w:pStyle w:val="Compact"/>
      </w:pPr>
      <w:r>
        <w:rPr>
          <w:bCs/>
          <w:b/>
        </w:rPr>
        <w:t xml:space="preserve">Post-Test Inspection:</w:t>
      </w:r>
      <w:r>
        <w:t xml:space="preserve"> </w:t>
      </w:r>
      <w:r>
        <w:t xml:space="preserve">The wing model will be inspected for any signs of damage or deformation. Data will be reviewed for completeness and accuracy.</w:t>
      </w:r>
    </w:p>
    <w:p>
      <w:pPr>
        <w:pStyle w:val="FirstParagraph"/>
      </w:pPr>
      <w:r>
        <w:t xml:space="preserve">7. Safety Measures</w:t>
      </w:r>
    </w:p>
    <w:p>
      <w:pPr>
        <w:pStyle w:val="BodyText"/>
      </w:pPr>
      <w:r>
        <w:t xml:space="preserve">Given the high-energy environment of wind tunnel testing, strict safety measures must be followed:</w:t>
      </w:r>
    </w:p>
    <w:p>
      <w:pPr>
        <w:numPr>
          <w:ilvl w:val="0"/>
          <w:numId w:val="1005"/>
        </w:numPr>
        <w:pStyle w:val="Compact"/>
      </w:pPr>
      <w:r>
        <w:t xml:space="preserve">All personnel must wear appropriate personal protective equipment (PPE), including safety glasses, hearing protection, and steel-toed boots.</w:t>
      </w:r>
    </w:p>
    <w:p>
      <w:pPr>
        <w:numPr>
          <w:ilvl w:val="0"/>
          <w:numId w:val="1005"/>
        </w:numPr>
        <w:pStyle w:val="Compact"/>
      </w:pPr>
      <w:r>
        <w:t xml:space="preserve">Access to the wind tunnel area will be restricted to authorized personnel only.</w:t>
      </w:r>
    </w:p>
    <w:p>
      <w:pPr>
        <w:numPr>
          <w:ilvl w:val="0"/>
          <w:numId w:val="1005"/>
        </w:numPr>
        <w:pStyle w:val="Compact"/>
      </w:pPr>
      <w:r>
        <w:t xml:space="preserve">Emergency stop buttons will be clearly marked and accessible at all times.</w:t>
      </w:r>
    </w:p>
    <w:p>
      <w:pPr>
        <w:numPr>
          <w:ilvl w:val="0"/>
          <w:numId w:val="1005"/>
        </w:numPr>
        <w:pStyle w:val="Compact"/>
      </w:pPr>
      <w:r>
        <w:t xml:space="preserve">Aerospace Engineer and Safety Officer will conduct a pre-test safety briefing and a post-test debriefing.</w:t>
      </w:r>
    </w:p>
    <w:p>
      <w:pPr>
        <w:numPr>
          <w:ilvl w:val="0"/>
          <w:numId w:val="1005"/>
        </w:numPr>
        <w:pStyle w:val="Compact"/>
      </w:pPr>
      <w:r>
        <w:t xml:space="preserve">In case of an emergency, personnel will follow the established evacuation procedures for the UTIAS facility in Canada Toronto.</w:t>
      </w:r>
    </w:p>
    <w:p>
      <w:pPr>
        <w:pStyle w:val="FirstParagraph"/>
      </w:pPr>
      <w:r>
        <w:t xml:space="preserve">8. Data Analysis and Reporting</w:t>
      </w:r>
    </w:p>
    <w:p>
      <w:pPr>
        <w:pStyle w:val="BodyText"/>
      </w:pPr>
      <w:r>
        <w:t xml:space="preserve">The Aerospace Engineer will oversee the analysis of experimental data, comparing results with CFD predictions and theoretical models. Key performance indicators, such as lift-to-drag ratio and structural margins, will be evaluated. A comprehensive report will be prepared, detailing the methodology, results, and conclusions. The report will be submitted to relevant stakeholders, including Transport Canada, to ensure regulatory compliance.</w:t>
      </w:r>
    </w:p>
    <w:p>
      <w:pPr>
        <w:pStyle w:val="BodyText"/>
      </w:pPr>
      <w:r>
        <w:t xml:space="preserve">9. Compliance and Standards</w:t>
      </w:r>
    </w:p>
    <w:p>
      <w:pPr>
        <w:pStyle w:val="BodyText"/>
      </w:pPr>
      <w:r>
        <w:t xml:space="preserve">This experiment adheres to the following standards and regulations:</w:t>
      </w:r>
    </w:p>
    <w:p>
      <w:pPr>
        <w:numPr>
          <w:ilvl w:val="0"/>
          <w:numId w:val="1006"/>
        </w:numPr>
        <w:pStyle w:val="Compact"/>
      </w:pPr>
      <w:r>
        <w:t xml:space="preserve">Transport Canada Civil Aviation Regulations (CARs)</w:t>
      </w:r>
    </w:p>
    <w:p>
      <w:pPr>
        <w:numPr>
          <w:ilvl w:val="0"/>
          <w:numId w:val="1006"/>
        </w:numPr>
        <w:pStyle w:val="Compact"/>
      </w:pPr>
      <w:r>
        <w:t xml:space="preserve">ISO 9001:2015 Quality Management Standards</w:t>
      </w:r>
    </w:p>
    <w:p>
      <w:pPr>
        <w:numPr>
          <w:ilvl w:val="0"/>
          <w:numId w:val="1006"/>
        </w:numPr>
        <w:pStyle w:val="Compact"/>
      </w:pPr>
      <w:r>
        <w:t xml:space="preserve">ASME B40.100-2016 Wind Tunnel Standards</w:t>
      </w:r>
    </w:p>
    <w:p>
      <w:pPr>
        <w:numPr>
          <w:ilvl w:val="0"/>
          <w:numId w:val="1006"/>
        </w:numPr>
        <w:pStyle w:val="Compact"/>
      </w:pPr>
      <w:r>
        <w:t xml:space="preserve">Local safety regulations applicable to Canada Toronto</w:t>
      </w:r>
    </w:p>
    <w:p>
      <w:pPr>
        <w:pStyle w:val="FirstParagraph"/>
      </w:pPr>
      <w:r>
        <w:t xml:space="preserve">Document Control: This Experiment Protocol is the property of the Aerospace Engineering Department, University of Toronto. Unauthorized reproduction or distribution is prohibited.</w:t>
      </w:r>
    </w:p>
    <w:p>
      <w:pPr>
        <w:pStyle w:val="BodyText"/>
      </w:pPr>
      <w:r>
        <w:t xml:space="preserve">Version: 1.0 | Last Updated: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Canada Toronto</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