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Validation</w:t>
      </w:r>
      <w:r>
        <w:t xml:space="preserve"> </w:t>
      </w:r>
      <w:r>
        <w:t xml:space="preserve">in</w:t>
      </w:r>
      <w:r>
        <w:t xml:space="preserve"> </w:t>
      </w:r>
      <w:r>
        <w:t xml:space="preserve">Beijing,</w:t>
      </w:r>
      <w:r>
        <w:t xml:space="preserve"> </w:t>
      </w:r>
      <w:r>
        <w:t xml:space="preserve">China</w:t>
      </w:r>
    </w:p>
    <w:bookmarkStart w:id="32" w:name="X29a6ee2f3b56f29ca57700497ea4f4c7cf3fe78"/>
    <w:p>
      <w:pPr>
        <w:pStyle w:val="Heading1"/>
      </w:pPr>
      <w:r>
        <w:t xml:space="preserve">Experiment Protocol: High-Altitude Aerodynamic Stability Testing</w:t>
      </w:r>
    </w:p>
    <w:p>
      <w:pPr>
        <w:pStyle w:val="FirstParagraph"/>
      </w:pPr>
      <w:r>
        <w:rPr>
          <w:bCs/>
          <w:b/>
        </w:rPr>
        <w:t xml:space="preserve">Document ID:</w:t>
      </w:r>
      <w:r>
        <w:t xml:space="preserve"> </w:t>
      </w:r>
      <w:r>
        <w:t xml:space="preserve">AE-BJ-2024-EXP-001</w:t>
      </w:r>
    </w:p>
    <w:p>
      <w:pPr>
        <w:pStyle w:val="BodyText"/>
      </w:pPr>
      <w:r>
        <w:rPr>
          <w:bCs/>
          <w:b/>
        </w:rPr>
        <w:t xml:space="preserve">Location:</w:t>
      </w:r>
      <w:r>
        <w:t xml:space="preserve"> </w:t>
      </w:r>
      <w:r>
        <w:t xml:space="preserve">National Aerospace Testing Facility, Haidian District, China Beijing</w:t>
      </w:r>
    </w:p>
    <w:p>
      <w:pPr>
        <w:pStyle w:val="BodyText"/>
      </w:pPr>
      <w:r>
        <w:rPr>
          <w:bCs/>
          <w:b/>
        </w:rPr>
        <w:t xml:space="preserve">Role:</w:t>
      </w:r>
      <w:r>
        <w:t xml:space="preserve"> </w:t>
      </w:r>
      <w:r>
        <w:t xml:space="preserve">Lead Aerospace Engineer</w:t>
      </w:r>
    </w:p>
    <w:p>
      <w:pPr>
        <w:pStyle w:val="BodyText"/>
      </w:pPr>
      <w:r>
        <w:rPr>
          <w:bCs/>
          <w:b/>
        </w:rPr>
        <w:t xml:space="preserve">Date:</w:t>
      </w:r>
      <w:r>
        <w:t xml:space="preserve"> </w:t>
      </w:r>
      <w:r>
        <w:t xml:space="preserve">October 24, 2024</w:t>
      </w:r>
    </w:p>
    <w:p>
      <w:pPr>
        <w:pStyle w:val="BodyText"/>
      </w:pPr>
      <w:r>
        <w:rPr>
          <w:bCs/>
          <w:b/>
        </w:rPr>
        <w:t xml:space="preserve">Status:</w:t>
      </w:r>
      <w:r>
        <w:t xml:space="preserve"> </w:t>
      </w:r>
      <w:r>
        <w:t xml:space="preserve">Approved for Execution</w:t>
      </w:r>
    </w:p>
    <w:bookmarkStart w:id="20" w:name="introduction-and-objective"/>
    <w:p>
      <w:pPr>
        <w:pStyle w:val="Heading2"/>
      </w:pPr>
      <w:r>
        <w:t xml:space="preserve">1. Introduction and Objective</w:t>
      </w:r>
    </w:p>
    <w:p>
      <w:pPr>
        <w:pStyle w:val="FirstParagraph"/>
      </w:pPr>
      <w:r>
        <w:t xml:space="preserve">This Experiment Protocol outlines the rigorous procedures required for the validation of next-generation hypersonic vehicle components. As an Aerospace Engineer operating within the advanced technological ecosystem of China Beijing, the primary objective is to assess the thermal and structural integrity of composite materials under simulated high-altitude conditions. This protocol is designed to ensure that all testing aligns with international aerospace standards while adhering to the specific regulatory frameworks governing aerospace research in the People's Republic of China.</w:t>
      </w:r>
    </w:p>
    <w:p>
      <w:pPr>
        <w:pStyle w:val="BodyText"/>
      </w:pPr>
      <w:r>
        <w:t xml:space="preserve">The experiment aims to quantify the aerodynamic drag and heat flux distribution on the prototype vehicle's leading edges. Given the strategic importance of aerospace innovation in Beijing, this data is critical for optimizing fuel efficiency and ensuring crew safety during re-entry phases.</w:t>
      </w:r>
    </w:p>
    <w:bookmarkEnd w:id="20"/>
    <w:bookmarkStart w:id="21" w:name="scope-and-applicability"/>
    <w:p>
      <w:pPr>
        <w:pStyle w:val="Heading2"/>
      </w:pPr>
      <w:r>
        <w:t xml:space="preserve">2. Scope and Applicability</w:t>
      </w:r>
    </w:p>
    <w:p>
      <w:pPr>
        <w:pStyle w:val="FirstParagraph"/>
      </w:pPr>
      <w:r>
        <w:t xml:space="preserve">This protocol applies specifically to the wind tunnel testing conducted at the Beijing Aerospace Testing Center. It covers the preparation, execution, monitoring, and post-analysis phases of the experiment. All personnel involved, including junior engineers, technicians, and safety officers, must strictly adhere to the guidelines set forth in this document. The scope includes the use of the Transonic Wind Tunnel Complex, which is capable of simulating Mach numbers ranging from 0.6 to 1.2.</w:t>
      </w:r>
    </w:p>
    <w:bookmarkEnd w:id="21"/>
    <w:bookmarkStart w:id="22" w:name="roles-and-responsibilities"/>
    <w:p>
      <w:pPr>
        <w:pStyle w:val="Heading2"/>
      </w:pPr>
      <w:r>
        <w:t xml:space="preserve">3. Roles and Responsibilities</w:t>
      </w:r>
    </w:p>
    <w:p>
      <w:pPr>
        <w:pStyle w:val="FirstParagraph"/>
      </w:pPr>
      <w:r>
        <w:t xml:space="preserve">The success of this experiment relies on the precise coordination of the engineering team based in Beijing.</w:t>
      </w:r>
    </w:p>
    <w:p>
      <w:pPr>
        <w:numPr>
          <w:ilvl w:val="0"/>
          <w:numId w:val="1001"/>
        </w:numPr>
        <w:pStyle w:val="Compact"/>
      </w:pPr>
      <w:r>
        <w:rPr>
          <w:bCs/>
          <w:b/>
        </w:rPr>
        <w:t xml:space="preserve">Lead Aerospace Engineer:</w:t>
      </w:r>
      <w:r>
        <w:t xml:space="preserve"> </w:t>
      </w:r>
      <w:r>
        <w:t xml:space="preserve">Responsible for the overall technical direction, approval of test parameters, and final interpretation of data. Must ensure compliance with Chinese national aviation standards (CAAC).</w:t>
      </w:r>
    </w:p>
    <w:p>
      <w:pPr>
        <w:numPr>
          <w:ilvl w:val="0"/>
          <w:numId w:val="1001"/>
        </w:numPr>
        <w:pStyle w:val="Compact"/>
      </w:pPr>
      <w:r>
        <w:rPr>
          <w:bCs/>
          <w:b/>
        </w:rPr>
        <w:t xml:space="preserve">Test Engineer:</w:t>
      </w:r>
      <w:r>
        <w:t xml:space="preserve"> </w:t>
      </w:r>
      <w:r>
        <w:t xml:space="preserve">Oversees the physical setup of the model within the wind tunnel, calibrates sensors, and manages the data acquisition system.</w:t>
      </w:r>
    </w:p>
    <w:p>
      <w:pPr>
        <w:numPr>
          <w:ilvl w:val="0"/>
          <w:numId w:val="1001"/>
        </w:numPr>
        <w:pStyle w:val="Compact"/>
      </w:pPr>
      <w:r>
        <w:rPr>
          <w:bCs/>
          <w:b/>
        </w:rPr>
        <w:t xml:space="preserve">Safety Officer:</w:t>
      </w:r>
      <w:r>
        <w:t xml:space="preserve"> </w:t>
      </w:r>
      <w:r>
        <w:t xml:space="preserve">Ensures that all safety protocols are met, particularly regarding high-pressure gas systems and electrical safety within the Beijing facility.</w:t>
      </w:r>
    </w:p>
    <w:p>
      <w:pPr>
        <w:numPr>
          <w:ilvl w:val="0"/>
          <w:numId w:val="1001"/>
        </w:numPr>
        <w:pStyle w:val="Compact"/>
      </w:pPr>
      <w:r>
        <w:rPr>
          <w:bCs/>
          <w:b/>
        </w:rPr>
        <w:t xml:space="preserve">Data Analyst:</w:t>
      </w:r>
      <w:r>
        <w:t xml:space="preserve"> </w:t>
      </w:r>
      <w:r>
        <w:t xml:space="preserve">Processes raw telemetry data to generate aerodynamic coefficients and thermal maps.</w:t>
      </w:r>
    </w:p>
    <w:bookmarkEnd w:id="22"/>
    <w:bookmarkStart w:id="23" w:name="equipment-and-materials"/>
    <w:p>
      <w:pPr>
        <w:pStyle w:val="Heading2"/>
      </w:pPr>
      <w:r>
        <w:t xml:space="preserve">4. Equipment and Materials</w:t>
      </w:r>
    </w:p>
    <w:p>
      <w:pPr>
        <w:pStyle w:val="FirstParagraph"/>
      </w:pPr>
      <w:r>
        <w:t xml:space="preserve">The following equipment must be inspected and calibrated prior to the commencement of the experiment in Beijing: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Hypersonic Wind Tunnel</w:t>
            </w:r>
          </w:p>
        </w:tc>
        <w:tc>
          <w:tcPr/>
          <w:p>
            <w:pPr>
              <w:pStyle w:val="Compact"/>
              <w:jc w:val="left"/>
            </w:pPr>
            <w:r>
              <w:t xml:space="preserve">Class A, Mach 5-7 capability</w:t>
            </w:r>
          </w:p>
        </w:tc>
        <w:tc>
          <w:tcPr/>
          <w:p>
            <w:pPr>
              <w:pStyle w:val="Compact"/>
              <w:jc w:val="left"/>
            </w:pPr>
            <w:r>
              <w:t xml:space="preserve">1</w:t>
            </w:r>
          </w:p>
        </w:tc>
      </w:tr>
      <w:tr>
        <w:tc>
          <w:tcPr/>
          <w:p>
            <w:pPr>
              <w:pStyle w:val="Compact"/>
              <w:jc w:val="left"/>
            </w:pPr>
            <w:r>
              <w:t xml:space="preserve">Test Model</w:t>
            </w:r>
          </w:p>
        </w:tc>
        <w:tc>
          <w:tcPr/>
          <w:p>
            <w:pPr>
              <w:pStyle w:val="Compact"/>
              <w:jc w:val="left"/>
            </w:pPr>
            <w:r>
              <w:t xml:space="preserve">1:10 Scale Composite Prototype</w:t>
            </w:r>
          </w:p>
        </w:tc>
        <w:tc>
          <w:tcPr/>
          <w:p>
            <w:pPr>
              <w:pStyle w:val="Compact"/>
              <w:jc w:val="left"/>
            </w:pPr>
            <w:r>
              <w:t xml:space="preserve">1</w:t>
            </w:r>
          </w:p>
        </w:tc>
      </w:tr>
      <w:tr>
        <w:tc>
          <w:tcPr/>
          <w:p>
            <w:pPr>
              <w:pStyle w:val="Compact"/>
              <w:jc w:val="left"/>
            </w:pPr>
            <w:r>
              <w:t xml:space="preserve">Pressure Transducers</w:t>
            </w:r>
          </w:p>
        </w:tc>
        <w:tc>
          <w:tcPr/>
          <w:p>
            <w:pPr>
              <w:pStyle w:val="Compact"/>
              <w:jc w:val="left"/>
            </w:pPr>
            <w:r>
              <w:t xml:space="preserve">High-frequency response, calibrated</w:t>
            </w:r>
          </w:p>
        </w:tc>
        <w:tc>
          <w:tcPr/>
          <w:p>
            <w:pPr>
              <w:pStyle w:val="Compact"/>
              <w:jc w:val="left"/>
            </w:pPr>
            <w:r>
              <w:t xml:space="preserve">50</w:t>
            </w:r>
          </w:p>
        </w:tc>
      </w:tr>
      <w:tr>
        <w:tc>
          <w:tcPr/>
          <w:p>
            <w:pPr>
              <w:pStyle w:val="Compact"/>
              <w:jc w:val="left"/>
            </w:pPr>
            <w:r>
              <w:t xml:space="preserve">Thermocouples</w:t>
            </w:r>
          </w:p>
        </w:tc>
        <w:tc>
          <w:tcPr/>
          <w:p>
            <w:pPr>
              <w:pStyle w:val="Compact"/>
              <w:jc w:val="left"/>
            </w:pPr>
            <w:r>
              <w:t xml:space="preserve">Type K, surface mounted</w:t>
            </w:r>
          </w:p>
        </w:tc>
        <w:tc>
          <w:tcPr/>
          <w:p>
            <w:pPr>
              <w:pStyle w:val="Compact"/>
              <w:jc w:val="left"/>
            </w:pPr>
            <w:r>
              <w:t xml:space="preserve">100</w:t>
            </w:r>
          </w:p>
        </w:tc>
      </w:tr>
      <w:tr>
        <w:tc>
          <w:tcPr/>
          <w:p>
            <w:pPr>
              <w:pStyle w:val="Compact"/>
              <w:jc w:val="left"/>
            </w:pPr>
            <w:r>
              <w:t xml:space="preserve">Data Acquisition System</w:t>
            </w:r>
          </w:p>
        </w:tc>
        <w:tc>
          <w:tcPr/>
          <w:p>
            <w:pPr>
              <w:pStyle w:val="Compact"/>
              <w:jc w:val="left"/>
            </w:pPr>
            <w:r>
              <w:t xml:space="preserve">100kHz sampling rate</w:t>
            </w:r>
          </w:p>
        </w:tc>
        <w:tc>
          <w:tcPr/>
          <w:p>
            <w:pPr>
              <w:pStyle w:val="Compact"/>
              <w:jc w:val="left"/>
            </w:pPr>
            <w:r>
              <w:t xml:space="preserve">1</w:t>
            </w:r>
          </w:p>
        </w:tc>
      </w:tr>
    </w:tbl>
    <w:bookmarkEnd w:id="23"/>
    <w:bookmarkStart w:id="28" w:name="experimental-procedure"/>
    <w:p>
      <w:pPr>
        <w:pStyle w:val="Heading2"/>
      </w:pPr>
      <w:r>
        <w:t xml:space="preserve">5. Experimental Procedure</w:t>
      </w:r>
    </w:p>
    <w:bookmarkStart w:id="24" w:name="pre-test-preparation"/>
    <w:p>
      <w:pPr>
        <w:pStyle w:val="Heading3"/>
      </w:pPr>
      <w:r>
        <w:t xml:space="preserve">5.1 Pre-Test Preparation</w:t>
      </w:r>
    </w:p>
    <w:p>
      <w:pPr>
        <w:pStyle w:val="FirstParagraph"/>
      </w:pPr>
      <w:r>
        <w:t xml:space="preserve">Before initiating the airflow, the Aerospace Engineer must verify the structural integrity of the test model. All sensors must be connected to the central data hub located in the control room. A pre-test meeting will be held to review the safety checklist specific to the Beijing facility's operational guidelines. The environmental conditions within the wind tunnel test section must be stabilized to match the target altitude parameters.</w:t>
      </w:r>
    </w:p>
    <w:bookmarkEnd w:id="24"/>
    <w:bookmarkStart w:id="25" w:name="calibration-phase"/>
    <w:p>
      <w:pPr>
        <w:pStyle w:val="Heading3"/>
      </w:pPr>
      <w:r>
        <w:t xml:space="preserve">5.2 Calibration Phase</w:t>
      </w:r>
    </w:p>
    <w:p>
      <w:pPr>
        <w:pStyle w:val="FirstParagraph"/>
      </w:pPr>
      <w:r>
        <w:t xml:space="preserve">Conduct a zero-flow calibration to establish baseline readings for all pressure transducers and thermocouples. This step is crucial to eliminate noise and ensure data accuracy. The Aerospace Engineer will review the calibration logs and sign off before proceeding to active testing.</w:t>
      </w:r>
    </w:p>
    <w:bookmarkEnd w:id="25"/>
    <w:bookmarkStart w:id="26" w:name="execution-phase"/>
    <w:p>
      <w:pPr>
        <w:pStyle w:val="Heading3"/>
      </w:pPr>
      <w:r>
        <w:t xml:space="preserve">5.3 Execution Phase</w:t>
      </w:r>
    </w:p>
    <w:p>
      <w:pPr>
        <w:pStyle w:val="FirstParagraph"/>
      </w:pPr>
      <w:r>
        <w:t xml:space="preserve">Once the system is green-lit, the wind tunnel will be ramped up to the target Mach number in incremental stages. The Aerospace Engineer will monitor real-time telemetry for any anomalies. Data collection will occur at steady-state conditions for a duration of 30 seconds per test point. Test points will vary angle of attack from -5 degrees to +15 degrees in 5-degree increments.</w:t>
      </w:r>
    </w:p>
    <w:p>
      <w:pPr>
        <w:pStyle w:val="BodyText"/>
      </w:pPr>
      <w:r>
        <w:t xml:space="preserve">WARNING: In the event of structural failure or excessive vibration, the emergency shutdown protocol must be initiated immediately to protect the facility and personnel.</w:t>
      </w:r>
    </w:p>
    <w:bookmarkEnd w:id="26"/>
    <w:bookmarkStart w:id="27" w:name="post-test-procedures"/>
    <w:p>
      <w:pPr>
        <w:pStyle w:val="Heading3"/>
      </w:pPr>
      <w:r>
        <w:t xml:space="preserve">5.4 Post-Test Procedures</w:t>
      </w:r>
    </w:p>
    <w:p>
      <w:pPr>
        <w:pStyle w:val="FirstParagraph"/>
      </w:pPr>
      <w:r>
        <w:t xml:space="preserve">After the final test point, the wind tunnel will be depressurized slowly. The test model will be removed and inspected for any signs of thermal damage or structural fatigue. All data files will be backed up to the secure server located in the Beijing research campus.</w:t>
      </w:r>
    </w:p>
    <w:bookmarkEnd w:id="27"/>
    <w:bookmarkEnd w:id="28"/>
    <w:bookmarkStart w:id="29" w:name="safety-and-compliance"/>
    <w:p>
      <w:pPr>
        <w:pStyle w:val="Heading2"/>
      </w:pPr>
      <w:r>
        <w:t xml:space="preserve">6. Safety and Compliance</w:t>
      </w:r>
    </w:p>
    <w:p>
      <w:pPr>
        <w:pStyle w:val="FirstParagraph"/>
      </w:pPr>
      <w:r>
        <w:t xml:space="preserve">Safety is paramount in aerospace engineering. This protocol adheres to the strict safety regulations enforced in China Beijing. All personnel must wear appropriate personal protective equipment (PPE), including safety glasses, hearing protection, and steel-toed boots. Access to the wind tunnel area is restricted to authorized personnel only. Furthermore, all data generated must comply with national security regulations regarding aerospace technology.</w:t>
      </w:r>
    </w:p>
    <w:bookmarkEnd w:id="29"/>
    <w:bookmarkStart w:id="30" w:name="data-analysis-and-reporting"/>
    <w:p>
      <w:pPr>
        <w:pStyle w:val="Heading2"/>
      </w:pPr>
      <w:r>
        <w:t xml:space="preserve">7. Data Analysis and Reporting</w:t>
      </w:r>
    </w:p>
    <w:p>
      <w:pPr>
        <w:pStyle w:val="FirstParagraph"/>
      </w:pPr>
      <w:r>
        <w:t xml:space="preserve">The Aerospace Engineer will lead the analysis of the collected data. Key performance indicators include lift-to-drag ratio, center of pressure location, and peak surface temperature. A comprehensive report will be generated, detailing the findings, any deviations from expected results, and recommendations for design improvements. This report will be submitted to the project management team in Beijing for review and approval.</w:t>
      </w:r>
    </w:p>
    <w:bookmarkEnd w:id="30"/>
    <w:bookmarkStart w:id="31" w:name="conclusion"/>
    <w:p>
      <w:pPr>
        <w:pStyle w:val="Heading2"/>
      </w:pPr>
      <w:r>
        <w:t xml:space="preserve">8. Conclusion</w:t>
      </w:r>
    </w:p>
    <w:p>
      <w:pPr>
        <w:pStyle w:val="FirstParagraph"/>
      </w:pPr>
      <w:r>
        <w:t xml:space="preserve">This Experiment Protocol provides a structured approach to validating aerospace components in a controlled environment. By following these guidelines, the engineering team in China Beijing ensures the reliability, safety, and performance of future aerospace vehicles. Continuous improvement of these protocols is essential to maintaining the high standards of the aerospace industry.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Validation in Beijing, China</dc:title>
  <dc:creator/>
  <dc:language>en</dc:language>
  <cp:keywords/>
  <dcterms:created xsi:type="dcterms:W3CDTF">2026-10-10T01:40:04Z</dcterms:created>
  <dcterms:modified xsi:type="dcterms:W3CDTF">2026-10-10T01:40:04Z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