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w:t>
      </w:r>
      <w:r>
        <w:t xml:space="preserve"> </w:t>
      </w:r>
      <w:r>
        <w:t xml:space="preserve">Shanghai,</w:t>
      </w:r>
      <w:r>
        <w:t xml:space="preserve"> </w:t>
      </w:r>
      <w:r>
        <w:t xml:space="preserve">China</w:t>
      </w:r>
    </w:p>
    <w:bookmarkStart w:id="20" w:name="Xb9a599840099bcdc2775f90438c9091273bfec2"/>
    <w:p>
      <w:pPr>
        <w:pStyle w:val="Heading1"/>
      </w:pPr>
      <w:r>
        <w:t xml:space="preserve">Experiment Protocol: Aerospace Engineering Research in Shanghai, China</w:t>
      </w:r>
    </w:p>
    <w:p>
      <w:pPr>
        <w:pStyle w:val="FirstParagraph"/>
      </w:pPr>
      <w:r>
        <w:rPr>
          <w:bCs/>
          <w:b/>
        </w:rPr>
        <w:t xml:space="preserve">Document ID:</w:t>
      </w:r>
      <w:r>
        <w:t xml:space="preserve"> </w:t>
      </w:r>
      <w:r>
        <w:t xml:space="preserve">AE-SH-2023-001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Shanghai, China</w:t>
      </w:r>
    </w:p>
    <w:p>
      <w:pPr>
        <w:pStyle w:val="BodyText"/>
      </w:pPr>
      <w:r>
        <w:rPr>
          <w:bCs/>
          <w:b/>
        </w:rPr>
        <w:t xml:space="preserve">Prepared by:</w:t>
      </w:r>
      <w:r>
        <w:t xml:space="preserve"> </w:t>
      </w:r>
      <w:r>
        <w:t xml:space="preserve">[Name], Aerospace Engineer</w:t>
      </w:r>
    </w:p>
    <w:p>
      <w:pPr>
        <w:pStyle w:val="BodyText"/>
      </w:pPr>
      <w:r>
        <w:rPr>
          <w:bCs/>
          <w:b/>
        </w:rPr>
        <w:t xml:space="preserve">Approved by:</w:t>
      </w:r>
      <w:r>
        <w:t xml:space="preserve"> </w:t>
      </w:r>
      <w:r>
        <w:t xml:space="preserve">[Name], Chief Research Officer</w:t>
      </w:r>
    </w:p>
    <w:bookmarkEnd w:id="20"/>
    <w:bookmarkStart w:id="21" w:name="introduction"/>
    <w:p>
      <w:pPr>
        <w:pStyle w:val="Heading2"/>
      </w:pPr>
      <w:r>
        <w:t xml:space="preserve">1. Introduction</w:t>
      </w:r>
    </w:p>
    <w:p>
      <w:pPr>
        <w:pStyle w:val="FirstParagraph"/>
      </w:pPr>
      <w:r>
        <w:t xml:space="preserve">This Experiment Protocol outlines the procedures, methodologies, and safety measures for conducting aerospace engineering research in Shanghai, China. The primary objective is to evaluate the performance of advanced composite materials under simulated high-altitude conditions. This research is critical for enhancing the durability and efficiency of aerospace components used in modern aircraft and spacecraft.</w:t>
      </w:r>
    </w:p>
    <w:p>
      <w:pPr>
        <w:pStyle w:val="BodyText"/>
      </w:pPr>
      <w:r>
        <w:t xml:space="preserve">Shanghai, as a hub for technological innovation and aerospace development in China, provides the necessary infrastructure and expertise to support this research. The protocol ensures compliance with local regulations, international standards, and ethical guidelines.</w:t>
      </w:r>
    </w:p>
    <w:bookmarkEnd w:id="21"/>
    <w:bookmarkStart w:id="22"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assess the mechanical properties of carbon fiber-reinforced polymers (CFRP) under varying temperature and pressure conditions.</w:t>
      </w:r>
    </w:p>
    <w:p>
      <w:pPr>
        <w:numPr>
          <w:ilvl w:val="0"/>
          <w:numId w:val="1001"/>
        </w:numPr>
        <w:pStyle w:val="Compact"/>
      </w:pPr>
      <w:r>
        <w:t xml:space="preserve">To analyze the fatigue resistance of CFRP materials after prolonged exposure to simulated high-altitude environments.</w:t>
      </w:r>
    </w:p>
    <w:p>
      <w:pPr>
        <w:numPr>
          <w:ilvl w:val="0"/>
          <w:numId w:val="1001"/>
        </w:numPr>
        <w:pStyle w:val="Compact"/>
      </w:pPr>
      <w:r>
        <w:t xml:space="preserve">To develop recommendations for material selection and design optimization in aerospace applications.</w:t>
      </w:r>
    </w:p>
    <w:bookmarkEnd w:id="22"/>
    <w:bookmarkStart w:id="23" w:name="scope"/>
    <w:p>
      <w:pPr>
        <w:pStyle w:val="Heading2"/>
      </w:pPr>
      <w:r>
        <w:t xml:space="preserve">3. Scope</w:t>
      </w:r>
    </w:p>
    <w:p>
      <w:pPr>
        <w:pStyle w:val="FirstParagraph"/>
      </w:pPr>
      <w:r>
        <w:t xml:space="preserve">This protocol applies to all personnel involved in the experiment, including aerospace engineers, technicians, and support staff. The scope includes:</w:t>
      </w:r>
    </w:p>
    <w:p>
      <w:pPr>
        <w:numPr>
          <w:ilvl w:val="0"/>
          <w:numId w:val="1002"/>
        </w:numPr>
        <w:pStyle w:val="Compact"/>
      </w:pPr>
      <w:r>
        <w:t xml:space="preserve">Material preparation and testing.</w:t>
      </w:r>
    </w:p>
    <w:p>
      <w:pPr>
        <w:numPr>
          <w:ilvl w:val="0"/>
          <w:numId w:val="1002"/>
        </w:numPr>
        <w:pStyle w:val="Compact"/>
      </w:pPr>
      <w:r>
        <w:t xml:space="preserve">Data collection and analysis.</w:t>
      </w:r>
    </w:p>
    <w:p>
      <w:pPr>
        <w:numPr>
          <w:ilvl w:val="0"/>
          <w:numId w:val="1002"/>
        </w:numPr>
        <w:pStyle w:val="Compact"/>
      </w:pPr>
      <w:r>
        <w:t xml:space="preserve">Safety and environmental compliance.</w:t>
      </w:r>
    </w:p>
    <w:bookmarkEnd w:id="23"/>
    <w:bookmarkStart w:id="24"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Carbon Fiber-Reinforced Polymers (CFRP)</w:t>
            </w:r>
          </w:p>
        </w:tc>
        <w:tc>
          <w:tcPr/>
          <w:p>
            <w:pPr>
              <w:pStyle w:val="Compact"/>
              <w:jc w:val="left"/>
            </w:pPr>
            <w:r>
              <w:t xml:space="preserve">Test samples of varying thicknesses</w:t>
            </w:r>
          </w:p>
        </w:tc>
        <w:tc>
          <w:tcPr/>
          <w:p>
            <w:pPr>
              <w:pStyle w:val="Compact"/>
              <w:jc w:val="left"/>
            </w:pPr>
            <w:r>
              <w:t xml:space="preserve">50</w:t>
            </w:r>
          </w:p>
        </w:tc>
      </w:tr>
      <w:tr>
        <w:tc>
          <w:tcPr/>
          <w:p>
            <w:pPr>
              <w:pStyle w:val="Compact"/>
              <w:jc w:val="left"/>
            </w:pPr>
            <w:r>
              <w:t xml:space="preserve">Environmental Chamber</w:t>
            </w:r>
          </w:p>
        </w:tc>
        <w:tc>
          <w:tcPr/>
          <w:p>
            <w:pPr>
              <w:pStyle w:val="Compact"/>
              <w:jc w:val="left"/>
            </w:pPr>
            <w:r>
              <w:t xml:space="preserve">Simulates high-altitude conditions</w:t>
            </w:r>
          </w:p>
        </w:tc>
        <w:tc>
          <w:tcPr/>
          <w:p>
            <w:pPr>
              <w:pStyle w:val="Compact"/>
              <w:jc w:val="left"/>
            </w:pPr>
            <w:r>
              <w:t xml:space="preserve">1</w:t>
            </w:r>
          </w:p>
        </w:tc>
      </w:tr>
      <w:tr>
        <w:tc>
          <w:tcPr/>
          <w:p>
            <w:pPr>
              <w:pStyle w:val="Compact"/>
              <w:jc w:val="left"/>
            </w:pPr>
            <w:r>
              <w:t xml:space="preserve">Tensile Testing Machine</w:t>
            </w:r>
          </w:p>
        </w:tc>
        <w:tc>
          <w:tcPr/>
          <w:p>
            <w:pPr>
              <w:pStyle w:val="Compact"/>
              <w:jc w:val="left"/>
            </w:pPr>
            <w:r>
              <w:t xml:space="preserve">Measures mechanical properties</w:t>
            </w:r>
          </w:p>
        </w:tc>
        <w:tc>
          <w:tcPr/>
          <w:p>
            <w:pPr>
              <w:pStyle w:val="Compact"/>
              <w:jc w:val="left"/>
            </w:pPr>
            <w:r>
              <w:t xml:space="preserve">1</w:t>
            </w:r>
          </w:p>
        </w:tc>
      </w:tr>
      <w:tr>
        <w:tc>
          <w:tcPr/>
          <w:p>
            <w:pPr>
              <w:pStyle w:val="Compact"/>
              <w:jc w:val="left"/>
            </w:pPr>
            <w:r>
              <w:t xml:space="preserve">Data Acquisition System</w:t>
            </w:r>
          </w:p>
        </w:tc>
        <w:tc>
          <w:tcPr/>
          <w:p>
            <w:pPr>
              <w:pStyle w:val="Compact"/>
              <w:jc w:val="left"/>
            </w:pPr>
            <w:r>
              <w:t xml:space="preserve">Records experimental data</w:t>
            </w:r>
          </w:p>
        </w:tc>
        <w:tc>
          <w:tcPr/>
          <w:p>
            <w:pPr>
              <w:pStyle w:val="Compact"/>
              <w:jc w:val="left"/>
            </w:pPr>
            <w:r>
              <w:t xml:space="preserve">1</w:t>
            </w:r>
          </w:p>
        </w:tc>
      </w:tr>
    </w:tbl>
    <w:bookmarkEnd w:id="24"/>
    <w:bookmarkStart w:id="29" w:name="methodology"/>
    <w:p>
      <w:pPr>
        <w:pStyle w:val="Heading2"/>
      </w:pPr>
      <w:r>
        <w:t xml:space="preserve">5. Methodology</w:t>
      </w:r>
    </w:p>
    <w:bookmarkStart w:id="25" w:name="sample-preparation"/>
    <w:p>
      <w:pPr>
        <w:pStyle w:val="Heading3"/>
      </w:pPr>
      <w:r>
        <w:t xml:space="preserve">5.1 Sample Preparation</w:t>
      </w:r>
    </w:p>
    <w:p>
      <w:pPr>
        <w:pStyle w:val="FirstParagraph"/>
      </w:pPr>
      <w:r>
        <w:t xml:space="preserve">CFRP samples will be prepared according to ASTM D3039 standards. Each sample will be labeled and stored in a controlled environment to prevent contamination.</w:t>
      </w:r>
    </w:p>
    <w:bookmarkEnd w:id="25"/>
    <w:bookmarkStart w:id="26" w:name="environmental-simulation"/>
    <w:p>
      <w:pPr>
        <w:pStyle w:val="Heading3"/>
      </w:pPr>
      <w:r>
        <w:t xml:space="preserve">5.2 Environmental Simulation</w:t>
      </w:r>
    </w:p>
    <w:p>
      <w:pPr>
        <w:pStyle w:val="FirstParagraph"/>
      </w:pPr>
      <w:r>
        <w:t xml:space="preserve">Samples will be placed in an environmental chamber that simulates high-altitude conditions, including temperatures ranging from -50°C to 50°C and pressures equivalent to altitudes up to 30,000 feet.</w:t>
      </w:r>
    </w:p>
    <w:bookmarkEnd w:id="26"/>
    <w:bookmarkStart w:id="27" w:name="mechanical-testing"/>
    <w:p>
      <w:pPr>
        <w:pStyle w:val="Heading3"/>
      </w:pPr>
      <w:r>
        <w:t xml:space="preserve">5.3 Mechanical Testing</w:t>
      </w:r>
    </w:p>
    <w:p>
      <w:pPr>
        <w:pStyle w:val="FirstParagraph"/>
      </w:pPr>
      <w:r>
        <w:t xml:space="preserve">After exposure, samples will undergo tensile testing to evaluate their mechanical properties. Data will be recorded using a data acquisition system.</w:t>
      </w:r>
    </w:p>
    <w:bookmarkEnd w:id="27"/>
    <w:bookmarkStart w:id="28" w:name="data-analysis"/>
    <w:p>
      <w:pPr>
        <w:pStyle w:val="Heading3"/>
      </w:pPr>
      <w:r>
        <w:t xml:space="preserve">5.4 Data Analysis</w:t>
      </w:r>
    </w:p>
    <w:p>
      <w:pPr>
        <w:pStyle w:val="FirstParagraph"/>
      </w:pPr>
      <w:r>
        <w:t xml:space="preserve">Collected data will be analyzed using statistical methods to determine trends and correlations. Results will be compared with baseline data to assess material performance.</w:t>
      </w:r>
    </w:p>
    <w:bookmarkEnd w:id="28"/>
    <w:bookmarkEnd w:id="29"/>
    <w:bookmarkStart w:id="30" w:name="safety-measures"/>
    <w:p>
      <w:pPr>
        <w:pStyle w:val="Heading2"/>
      </w:pPr>
      <w:r>
        <w:t xml:space="preserve">6. Safety Measures</w:t>
      </w:r>
    </w:p>
    <w:p>
      <w:pPr>
        <w:pStyle w:val="FirstParagraph"/>
      </w:pPr>
      <w:r>
        <w:t xml:space="preserve">All personnel must adhere to the following safety measures:</w:t>
      </w:r>
    </w:p>
    <w:p>
      <w:pPr>
        <w:numPr>
          <w:ilvl w:val="0"/>
          <w:numId w:val="1003"/>
        </w:numPr>
        <w:pStyle w:val="Compact"/>
      </w:pPr>
      <w:r>
        <w:t xml:space="preserve">Wear appropriate personal protective equipment (PPE), including gloves, goggles, and lab coats.</w:t>
      </w:r>
    </w:p>
    <w:p>
      <w:pPr>
        <w:numPr>
          <w:ilvl w:val="0"/>
          <w:numId w:val="1003"/>
        </w:numPr>
        <w:pStyle w:val="Compact"/>
      </w:pPr>
      <w:r>
        <w:t xml:space="preserve">Follow all operational procedures for equipment use.</w:t>
      </w:r>
    </w:p>
    <w:p>
      <w:pPr>
        <w:numPr>
          <w:ilvl w:val="0"/>
          <w:numId w:val="1003"/>
        </w:numPr>
        <w:pStyle w:val="Compact"/>
      </w:pPr>
      <w:r>
        <w:t xml:space="preserve">Report any incidents or near-misses immediately.</w:t>
      </w:r>
    </w:p>
    <w:bookmarkEnd w:id="30"/>
    <w:bookmarkStart w:id="31" w:name="environmental-compliance"/>
    <w:p>
      <w:pPr>
        <w:pStyle w:val="Heading2"/>
      </w:pPr>
      <w:r>
        <w:t xml:space="preserve">7. Environmental Compliance</w:t>
      </w:r>
    </w:p>
    <w:p>
      <w:pPr>
        <w:pStyle w:val="FirstParagraph"/>
      </w:pPr>
      <w:r>
        <w:t xml:space="preserve">The experiment will comply with environmental regulations in Shanghai, China. Waste materials will be disposed of according to local guidelines, and energy consumption will be minimized.</w:t>
      </w:r>
    </w:p>
    <w:bookmarkEnd w:id="31"/>
    <w:bookmarkStart w:id="32" w:name="roles-and-responsibilities"/>
    <w:p>
      <w:pPr>
        <w:pStyle w:val="Heading2"/>
      </w:pPr>
      <w:r>
        <w:t xml:space="preserve">8.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Aerospace Engineer</w:t>
            </w:r>
          </w:p>
        </w:tc>
        <w:tc>
          <w:tcPr/>
          <w:p>
            <w:pPr>
              <w:pStyle w:val="Compact"/>
              <w:jc w:val="left"/>
            </w:pPr>
            <w:r>
              <w:t xml:space="preserve">Oversee experiment design and execution</w:t>
            </w:r>
          </w:p>
        </w:tc>
      </w:tr>
      <w:tr>
        <w:tc>
          <w:tcPr/>
          <w:p>
            <w:pPr>
              <w:pStyle w:val="Compact"/>
              <w:jc w:val="left"/>
            </w:pPr>
            <w:r>
              <w:t xml:space="preserve">Technician</w:t>
            </w:r>
          </w:p>
        </w:tc>
        <w:tc>
          <w:tcPr/>
          <w:p>
            <w:pPr>
              <w:pStyle w:val="Compact"/>
              <w:jc w:val="left"/>
            </w:pPr>
            <w:r>
              <w:t xml:space="preserve">Prepare samples and operate equipment</w:t>
            </w:r>
          </w:p>
        </w:tc>
      </w:tr>
      <w:tr>
        <w:tc>
          <w:tcPr/>
          <w:p>
            <w:pPr>
              <w:pStyle w:val="Compact"/>
              <w:jc w:val="left"/>
            </w:pPr>
            <w:r>
              <w:t xml:space="preserve">Data Analyst</w:t>
            </w:r>
          </w:p>
        </w:tc>
        <w:tc>
          <w:tcPr/>
          <w:p>
            <w:pPr>
              <w:pStyle w:val="Compact"/>
              <w:jc w:val="left"/>
            </w:pPr>
            <w:r>
              <w:t xml:space="preserve">Analyze experimental data</w:t>
            </w:r>
          </w:p>
        </w:tc>
      </w:tr>
    </w:tbl>
    <w:bookmarkEnd w:id="32"/>
    <w:bookmarkStart w:id="33" w:name="timeline"/>
    <w:p>
      <w:pPr>
        <w:pStyle w:val="Heading2"/>
      </w:pPr>
      <w:r>
        <w:t xml:space="preserve">9. Timeline</w:t>
      </w:r>
    </w:p>
    <w:p>
      <w:pPr>
        <w:pStyle w:val="FirstParagraph"/>
      </w:pPr>
      <w:r>
        <w:t xml:space="preserve">The experiment is scheduled to be completed within three months, with the following milestones:</w:t>
      </w:r>
    </w:p>
    <w:p>
      <w:pPr>
        <w:numPr>
          <w:ilvl w:val="0"/>
          <w:numId w:val="1004"/>
        </w:numPr>
        <w:pStyle w:val="Compact"/>
      </w:pPr>
      <w:r>
        <w:t xml:space="preserve">Month 1: Sample preparation and initial testing.</w:t>
      </w:r>
    </w:p>
    <w:p>
      <w:pPr>
        <w:numPr>
          <w:ilvl w:val="0"/>
          <w:numId w:val="1004"/>
        </w:numPr>
        <w:pStyle w:val="Compact"/>
      </w:pPr>
      <w:r>
        <w:t xml:space="preserve">Month 2: Environmental simulation and mechanical testing.</w:t>
      </w:r>
    </w:p>
    <w:p>
      <w:pPr>
        <w:numPr>
          <w:ilvl w:val="0"/>
          <w:numId w:val="1004"/>
        </w:numPr>
        <w:pStyle w:val="Compact"/>
      </w:pPr>
      <w:r>
        <w:t xml:space="preserve">Month 3: Data analysis and report preparation.</w:t>
      </w:r>
    </w:p>
    <w:bookmarkEnd w:id="33"/>
    <w:bookmarkStart w:id="34" w:name="conclusion"/>
    <w:p>
      <w:pPr>
        <w:pStyle w:val="Heading2"/>
      </w:pPr>
      <w:r>
        <w:t xml:space="preserve">10. Conclusion</w:t>
      </w:r>
    </w:p>
    <w:p>
      <w:pPr>
        <w:pStyle w:val="FirstParagraph"/>
      </w:pPr>
      <w:r>
        <w:t xml:space="preserve">This Experiment Protocol provides a comprehensive framework for conducting aerospace engineering research in Shanghai, China. By adhering to these guidelines, we ensure the integrity, safety, and success of the experiment, contributing to advancements in aerospace technology.</w:t>
      </w:r>
    </w:p>
    <w:bookmarkEnd w:id="34"/>
    <w:p>
      <w:pPr>
        <w:pStyle w:val="BodyText"/>
      </w:pPr>
      <w:r>
        <w:t xml:space="preserve">For questions or clarifications, contact the Chief Research Officer at [email address].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 Shanghai, China</dc:title>
  <dc:creator/>
  <dc:language>en</dc:language>
  <cp:keywords/>
  <dcterms:created xsi:type="dcterms:W3CDTF">2026-10-10T06:51:13Z</dcterms:created>
  <dcterms:modified xsi:type="dcterms:W3CDTF">2026-10-10T06:51:13Z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