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Composite</w:t>
      </w:r>
      <w:r>
        <w:t xml:space="preserve"> </w:t>
      </w:r>
      <w:r>
        <w:t xml:space="preserve">Fatigue</w:t>
      </w:r>
      <w:r>
        <w:t xml:space="preserve"> </w:t>
      </w:r>
      <w:r>
        <w:t xml:space="preserve">Testing</w:t>
      </w:r>
    </w:p>
    <w:bookmarkStart w:id="33" w:name="X3d6b9de21a6544df203b2863910780cf8c16fe9"/>
    <w:p>
      <w:pPr>
        <w:pStyle w:val="Heading1"/>
      </w:pPr>
      <w:r>
        <w:t xml:space="preserve">Experiment Protocol: High-Cycle Fatigue Analysis of Carbon Fiber Reinforced Polymers</w:t>
      </w:r>
    </w:p>
    <w:p>
      <w:pPr>
        <w:pStyle w:val="FirstParagraph"/>
      </w:pPr>
      <w:r>
        <w:rPr>
          <w:bCs/>
          <w:b/>
        </w:rPr>
        <w:t xml:space="preserve">Project ID:</w:t>
      </w:r>
      <w:r>
        <w:t xml:space="preserve"> </w:t>
      </w:r>
      <w:r>
        <w:t xml:space="preserve">AER-LYON-2024-CFRP-09</w:t>
      </w:r>
    </w:p>
    <w:p>
      <w:pPr>
        <w:pStyle w:val="BodyText"/>
      </w:pPr>
      <w:r>
        <w:rPr>
          <w:bCs/>
          <w:b/>
        </w:rPr>
        <w:t xml:space="preserve">Location:</w:t>
      </w:r>
      <w:r>
        <w:t xml:space="preserve"> </w:t>
      </w:r>
      <w:r>
        <w:t xml:space="preserve">Advanced Materials Laboratory, Lyon, France</w:t>
      </w:r>
    </w:p>
    <w:p>
      <w:pPr>
        <w:pStyle w:val="BodyText"/>
      </w:pPr>
      <w:r>
        <w:rPr>
          <w:bCs/>
          <w:b/>
        </w:rPr>
        <w:t xml:space="preserve">Lead Aerospace Engineer:</w:t>
      </w:r>
      <w:r>
        <w:t xml:space="preserve"> </w:t>
      </w:r>
      <w:r>
        <w:t xml:space="preserve">Dr. Jean-Pierre Dubois</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1.2</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the high-cycle fatigue testing of next-generation Carbon Fiber Reinforced Polymers (CFRP) intended for use in commercial aviation wing structures. As an Aerospace Engineer operating within the dynamic industrial ecosystem of France Lyon, specifically leveraging the expertise found near the École Centrale de Lyon and the Airbus facilities, it is imperative that this testing adheres to the highest international standards.</w:t>
      </w:r>
    </w:p>
    <w:p>
      <w:pPr>
        <w:pStyle w:val="BodyText"/>
      </w:pPr>
      <w:r>
        <w:t xml:space="preserve">The primary objective is to determine the S-N curve (Stress-Life curve) of the new composite material under cyclic loading conditions that simulate trans-Atlantic flight profiles. This data is critical for validating structural integrity, ensuring passenger safety, and optimizing weight-to-strength ratios in accordance with European Aviation Safety Agency (EASA) regulations.</w:t>
      </w:r>
    </w:p>
    <w:bookmarkEnd w:id="20"/>
    <w:bookmarkStart w:id="21" w:name="scope-and-regulatory-compliance"/>
    <w:p>
      <w:pPr>
        <w:pStyle w:val="Heading2"/>
      </w:pPr>
      <w:r>
        <w:t xml:space="preserve">2. Scope and Regulatory Compliance</w:t>
      </w:r>
    </w:p>
    <w:p>
      <w:pPr>
        <w:pStyle w:val="FirstParagraph"/>
      </w:pPr>
      <w:r>
        <w:t xml:space="preserve">This protocol applies to all personnel involved in the mechanical testing phase at the Lyon facility. The procedures described herein are designed to comply with:</w:t>
      </w:r>
    </w:p>
    <w:p>
      <w:pPr>
        <w:numPr>
          <w:ilvl w:val="0"/>
          <w:numId w:val="1001"/>
        </w:numPr>
        <w:pStyle w:val="Compact"/>
      </w:pPr>
      <w:r>
        <w:t xml:space="preserve">ISO 13003:2019 (Fiber-reinforced plastic composites — Determination of fatigue properties).</w:t>
      </w:r>
    </w:p>
    <w:p>
      <w:pPr>
        <w:numPr>
          <w:ilvl w:val="0"/>
          <w:numId w:val="1001"/>
        </w:numPr>
        <w:pStyle w:val="Compact"/>
      </w:pPr>
      <w:r>
        <w:t xml:space="preserve">ASTM D3479/D3479M (Standard Test Method for Tension-Tension Fatigue Behavior of Polymer Matrix Composite Materials).</w:t>
      </w:r>
    </w:p>
    <w:p>
      <w:pPr>
        <w:numPr>
          <w:ilvl w:val="0"/>
          <w:numId w:val="1001"/>
        </w:numPr>
        <w:pStyle w:val="Compact"/>
      </w:pPr>
      <w:r>
        <w:t xml:space="preserve">Local French safety regulations regarding high-pressure hydraulic testing equipment.</w:t>
      </w:r>
    </w:p>
    <w:p>
      <w:pPr>
        <w:pStyle w:val="FirstParagraph"/>
      </w:pPr>
      <w:r>
        <w:t xml:space="preserve">The Aerospace Engineer in charge must ensure that all data collection methods are traceable and that the laboratory environment in Lyon maintains the controlled conditions necessary for reproducible results.</w:t>
      </w:r>
    </w:p>
    <w:bookmarkEnd w:id="21"/>
    <w:bookmarkStart w:id="24" w:name="materials-and-equipment"/>
    <w:p>
      <w:pPr>
        <w:pStyle w:val="Heading2"/>
      </w:pPr>
      <w:r>
        <w:t xml:space="preserve">3. Materials and Equipment</w:t>
      </w:r>
    </w:p>
    <w:bookmarkStart w:id="22" w:name="test-specimens"/>
    <w:p>
      <w:pPr>
        <w:pStyle w:val="Heading3"/>
      </w:pPr>
      <w:r>
        <w:t xml:space="preserve">3.1 Test Specimens</w:t>
      </w:r>
    </w:p>
    <w:p>
      <w:pPr>
        <w:pStyle w:val="FirstParagraph"/>
      </w:pPr>
      <w:r>
        <w:t xml:space="preserve">Specimens shall be manufactured using the standard layup sequence [0/90/45/-45]s. Each specimen must be cut using a water-jet cutter to minimize thermal damage to the resin matrix. A total of 30 specimens will be prepared, divided into five groups of six, corresponding to five different stress levels.</w:t>
      </w:r>
    </w:p>
    <w:bookmarkEnd w:id="22"/>
    <w:bookmarkStart w:id="23" w:name="testing-equipment"/>
    <w:p>
      <w:pPr>
        <w:pStyle w:val="Heading3"/>
      </w:pPr>
      <w:r>
        <w:t xml:space="preserve">3.2 Testing Equipment</w:t>
      </w:r>
    </w:p>
    <w:p>
      <w:pPr>
        <w:pStyle w:val="FirstParagraph"/>
      </w:pPr>
      <w:r>
        <w:t xml:space="preserve">The testing will be conducted using a servo-hydraulic testing machine (MTS Landmark Series) located in the Lyon structural lab. The equipment must be calibrated within the last 12 months. Key components include:</w:t>
      </w:r>
    </w:p>
    <w:p>
      <w:pPr>
        <w:numPr>
          <w:ilvl w:val="0"/>
          <w:numId w:val="1002"/>
        </w:numPr>
        <w:pStyle w:val="Compact"/>
      </w:pPr>
      <w:r>
        <w:t xml:space="preserve">Hydraulic grips with serrated faces to prevent slippage.</w:t>
      </w:r>
    </w:p>
    <w:p>
      <w:pPr>
        <w:numPr>
          <w:ilvl w:val="0"/>
          <w:numId w:val="1002"/>
        </w:numPr>
        <w:pStyle w:val="Compact"/>
      </w:pPr>
      <w:r>
        <w:t xml:space="preserve">Extensometers for precise strain measurement.</w:t>
      </w:r>
    </w:p>
    <w:p>
      <w:pPr>
        <w:numPr>
          <w:ilvl w:val="0"/>
          <w:numId w:val="1002"/>
        </w:numPr>
        <w:pStyle w:val="Compact"/>
      </w:pPr>
      <w:r>
        <w:t xml:space="preserve">Acoustic emission sensors for real-time damage detection.</w:t>
      </w:r>
    </w:p>
    <w:p>
      <w:pPr>
        <w:numPr>
          <w:ilvl w:val="0"/>
          <w:numId w:val="1002"/>
        </w:numPr>
        <w:pStyle w:val="Compact"/>
      </w:pPr>
      <w:r>
        <w:t xml:space="preserve">Environmental chamber capable of maintaining temperatures between -55°C and +80°C.</w:t>
      </w:r>
    </w:p>
    <w:bookmarkEnd w:id="23"/>
    <w:bookmarkEnd w:id="24"/>
    <w:bookmarkStart w:id="29" w:name="experimental-procedure"/>
    <w:p>
      <w:pPr>
        <w:pStyle w:val="Heading2"/>
      </w:pPr>
      <w:r>
        <w:t xml:space="preserve">4. Experimental Procedure</w:t>
      </w:r>
    </w:p>
    <w:bookmarkStart w:id="25" w:name="pre-test-inspection"/>
    <w:p>
      <w:pPr>
        <w:pStyle w:val="Heading3"/>
      </w:pPr>
      <w:r>
        <w:t xml:space="preserve">4.1 Pre-Test Inspection</w:t>
      </w:r>
    </w:p>
    <w:p>
      <w:pPr>
        <w:pStyle w:val="FirstParagraph"/>
      </w:pPr>
      <w:r>
        <w:t xml:space="preserve">Before mounting, each specimen must be visually inspected for surface defects, delaminations, or fiber misalignment. The Aerospace Engineer must record the dimensions (width and thickness) at three different points along the gauge length. The average values will be used to calculate the cross-sectional area.</w:t>
      </w:r>
    </w:p>
    <w:bookmarkEnd w:id="25"/>
    <w:bookmarkStart w:id="26" w:name="mounting-and-alignment"/>
    <w:p>
      <w:pPr>
        <w:pStyle w:val="Heading3"/>
      </w:pPr>
      <w:r>
        <w:t xml:space="preserve">4.2 Mounting and Alignment</w:t>
      </w:r>
    </w:p>
    <w:p>
      <w:pPr>
        <w:pStyle w:val="FirstParagraph"/>
      </w:pPr>
      <w:r>
        <w:t xml:space="preserve">Specimens are to be mounted in the hydraulic grips. Care must be taken to ensure perfect alignment to avoid bending moments, which can skew fatigue data. A pre-load of 100 N is applied to check the alignment using the extensometer readings. If the strain difference between the top and bottom of the specimen exceeds 5%, the specimen must be remounted.</w:t>
      </w:r>
    </w:p>
    <w:bookmarkEnd w:id="26"/>
    <w:bookmarkStart w:id="27" w:name="loading-parameters"/>
    <w:p>
      <w:pPr>
        <w:pStyle w:val="Heading3"/>
      </w:pPr>
      <w:r>
        <w:t xml:space="preserve">4.3 Loading Parameters</w:t>
      </w:r>
    </w:p>
    <w:p>
      <w:pPr>
        <w:pStyle w:val="FirstParagraph"/>
      </w:pPr>
      <w:r>
        <w:t xml:space="preserve">The fatigue test will be conducted under tension-tension loading with a sinusoidal waveform. The frequency will be set to 10 Hz to minimize thermal effects. The stress ratios (R) and maximum stress levels (σ_max) for the five groups are defined in the table below: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Group ID</w:t>
            </w:r>
          </w:p>
        </w:tc>
        <w:tc>
          <w:tcPr/>
          <w:p>
            <w:pPr>
              <w:pStyle w:val="Compact"/>
              <w:jc w:val="left"/>
            </w:pPr>
            <w:r>
              <w:t xml:space="preserve">Stress Ratio (R)</w:t>
            </w:r>
          </w:p>
        </w:tc>
        <w:tc>
          <w:tcPr/>
          <w:p>
            <w:pPr>
              <w:pStyle w:val="Compact"/>
              <w:jc w:val="left"/>
            </w:pPr>
            <w:r>
              <w:t xml:space="preserve">Max Stress (σ_max) in MPa</w:t>
            </w:r>
          </w:p>
        </w:tc>
        <w:tc>
          <w:tcPr/>
          <w:p>
            <w:pPr>
              <w:pStyle w:val="Compact"/>
              <w:jc w:val="left"/>
            </w:pPr>
            <w:r>
              <w:t xml:space="preserve">Target Cycles</w:t>
            </w:r>
          </w:p>
        </w:tc>
      </w:tr>
      <w:tr>
        <w:tc>
          <w:tcPr/>
          <w:p>
            <w:pPr>
              <w:pStyle w:val="Compact"/>
              <w:jc w:val="left"/>
            </w:pPr>
            <w:r>
              <w:t xml:space="preserve">G1</w:t>
            </w:r>
          </w:p>
        </w:tc>
        <w:tc>
          <w:tcPr/>
          <w:p>
            <w:pPr>
              <w:pStyle w:val="Compact"/>
              <w:jc w:val="left"/>
            </w:pPr>
            <w:r>
              <w:t xml:space="preserve">0.1</w:t>
            </w:r>
          </w:p>
        </w:tc>
        <w:tc>
          <w:tcPr/>
          <w:p>
            <w:pPr>
              <w:pStyle w:val="Compact"/>
              <w:jc w:val="left"/>
            </w:pPr>
            <w:r>
              <w:t xml:space="preserve">450</w:t>
            </w:r>
          </w:p>
        </w:tc>
        <w:tc>
          <w:tcPr/>
          <w:p>
            <w:pPr>
              <w:pStyle w:val="Compact"/>
              <w:jc w:val="left"/>
            </w:pPr>
            <w:r>
              <w:t xml:space="preserve">10^5</w:t>
            </w:r>
          </w:p>
        </w:tc>
      </w:tr>
      <w:tr>
        <w:tc>
          <w:tcPr/>
          <w:p>
            <w:pPr>
              <w:pStyle w:val="Compact"/>
              <w:jc w:val="left"/>
            </w:pPr>
            <w:r>
              <w:t xml:space="preserve">G2</w:t>
            </w:r>
          </w:p>
        </w:tc>
        <w:tc>
          <w:tcPr/>
          <w:p>
            <w:pPr>
              <w:pStyle w:val="Compact"/>
              <w:jc w:val="left"/>
            </w:pPr>
            <w:r>
              <w:t xml:space="preserve">0.1</w:t>
            </w:r>
          </w:p>
        </w:tc>
        <w:tc>
          <w:tcPr/>
          <w:p>
            <w:pPr>
              <w:pStyle w:val="Compact"/>
              <w:jc w:val="left"/>
            </w:pPr>
            <w:r>
              <w:t xml:space="preserve">400</w:t>
            </w:r>
          </w:p>
        </w:tc>
        <w:tc>
          <w:tcPr/>
          <w:p>
            <w:pPr>
              <w:pStyle w:val="Compact"/>
              <w:jc w:val="left"/>
            </w:pPr>
            <w:r>
              <w:t xml:space="preserve">10^6</w:t>
            </w:r>
          </w:p>
        </w:tc>
      </w:tr>
      <w:tr>
        <w:tc>
          <w:tcPr/>
          <w:p>
            <w:pPr>
              <w:pStyle w:val="Compact"/>
              <w:jc w:val="left"/>
            </w:pPr>
            <w:r>
              <w:t xml:space="preserve">G3</w:t>
            </w:r>
          </w:p>
        </w:tc>
        <w:tc>
          <w:tcPr/>
          <w:p>
            <w:pPr>
              <w:pStyle w:val="Compact"/>
              <w:jc w:val="left"/>
            </w:pPr>
            <w:r>
              <w:t xml:space="preserve">0.1</w:t>
            </w:r>
          </w:p>
        </w:tc>
        <w:tc>
          <w:tcPr/>
          <w:p>
            <w:pPr>
              <w:pStyle w:val="Compact"/>
              <w:jc w:val="left"/>
            </w:pPr>
            <w:r>
              <w:t xml:space="preserve">350</w:t>
            </w:r>
          </w:p>
        </w:tc>
        <w:tc>
          <w:tcPr/>
          <w:p>
            <w:pPr>
              <w:pStyle w:val="Compact"/>
              <w:jc w:val="left"/>
            </w:pPr>
            <w:r>
              <w:t xml:space="preserve">10^7</w:t>
            </w:r>
          </w:p>
        </w:tc>
      </w:tr>
      <w:tr>
        <w:tc>
          <w:tcPr/>
          <w:p>
            <w:pPr>
              <w:pStyle w:val="Compact"/>
              <w:jc w:val="left"/>
            </w:pPr>
            <w:r>
              <w:t xml:space="preserve">G4</w:t>
            </w:r>
          </w:p>
        </w:tc>
        <w:tc>
          <w:tcPr/>
          <w:p>
            <w:pPr>
              <w:pStyle w:val="Compact"/>
              <w:jc w:val="left"/>
            </w:pPr>
            <w:r>
              <w:t xml:space="preserve">0.1</w:t>
            </w:r>
          </w:p>
        </w:tc>
        <w:tc>
          <w:tcPr/>
          <w:p>
            <w:pPr>
              <w:pStyle w:val="Compact"/>
              <w:jc w:val="left"/>
            </w:pPr>
            <w:r>
              <w:t xml:space="preserve">300</w:t>
            </w:r>
          </w:p>
        </w:tc>
        <w:tc>
          <w:tcPr/>
          <w:p>
            <w:pPr>
              <w:pStyle w:val="Compact"/>
              <w:jc w:val="left"/>
            </w:pPr>
            <w:r>
              <w:t xml:space="preserve">10^8</w:t>
            </w:r>
          </w:p>
        </w:tc>
      </w:tr>
      <w:tr>
        <w:tc>
          <w:tcPr/>
          <w:p>
            <w:pPr>
              <w:pStyle w:val="Compact"/>
              <w:jc w:val="left"/>
            </w:pPr>
            <w:r>
              <w:t xml:space="preserve">G5</w:t>
            </w:r>
          </w:p>
        </w:tc>
        <w:tc>
          <w:tcPr/>
          <w:p>
            <w:pPr>
              <w:pStyle w:val="Compact"/>
              <w:jc w:val="left"/>
            </w:pPr>
            <w:r>
              <w:t xml:space="preserve">0.1</w:t>
            </w:r>
          </w:p>
        </w:tc>
        <w:tc>
          <w:tcPr/>
          <w:p>
            <w:pPr>
              <w:pStyle w:val="Compact"/>
              <w:jc w:val="left"/>
            </w:pPr>
            <w:r>
              <w:t xml:space="preserve">250</w:t>
            </w:r>
          </w:p>
        </w:tc>
        <w:tc>
          <w:tcPr/>
          <w:p>
            <w:pPr>
              <w:pStyle w:val="Compact"/>
              <w:jc w:val="left"/>
            </w:pPr>
            <w:r>
              <w:t xml:space="preserve">Run-out (10^9)</w:t>
            </w:r>
          </w:p>
        </w:tc>
      </w:tr>
    </w:tbl>
    <w:bookmarkEnd w:id="27"/>
    <w:bookmarkStart w:id="28" w:name="data-acquisition"/>
    <w:p>
      <w:pPr>
        <w:pStyle w:val="Heading3"/>
      </w:pPr>
      <w:r>
        <w:t xml:space="preserve">4.4 Data Acquisition</w:t>
      </w:r>
    </w:p>
    <w:p>
      <w:pPr>
        <w:pStyle w:val="FirstParagraph"/>
      </w:pPr>
      <w:r>
        <w:t xml:space="preserve">Data logging will occur at a rate of 100 Hz. The system will record load, displacement, strain, and acoustic emission events. The Aerospace Engineer must monitor the tests continuously during the first 10,000 cycles to ensure stability. Automated failure detection algorithms will halt the test if a sudden drop in stiffness or load capacity is detected.</w:t>
      </w:r>
    </w:p>
    <w:bookmarkEnd w:id="28"/>
    <w:bookmarkEnd w:id="29"/>
    <w:bookmarkStart w:id="30" w:name="safety-protocols"/>
    <w:p>
      <w:pPr>
        <w:pStyle w:val="Heading2"/>
      </w:pPr>
      <w:r>
        <w:t xml:space="preserve">5. Safety Protocols</w:t>
      </w:r>
    </w:p>
    <w:p>
      <w:pPr>
        <w:pStyle w:val="FirstParagraph"/>
      </w:pPr>
      <w:r>
        <w:t xml:space="preserve">Given the high energy involved in fatigue testing, strict safety measures are enforced in the Lyon facility:</w:t>
      </w:r>
    </w:p>
    <w:p>
      <w:pPr>
        <w:numPr>
          <w:ilvl w:val="0"/>
          <w:numId w:val="1003"/>
        </w:numPr>
        <w:pStyle w:val="Compact"/>
      </w:pPr>
      <w:r>
        <w:t xml:space="preserve">All personnel must wear Personal Protective Equipment (PPE), including safety glasses and steel-toed boots.</w:t>
      </w:r>
    </w:p>
    <w:p>
      <w:pPr>
        <w:numPr>
          <w:ilvl w:val="0"/>
          <w:numId w:val="1003"/>
        </w:numPr>
        <w:pStyle w:val="Compact"/>
      </w:pPr>
      <w:r>
        <w:t xml:space="preserve">A protective cage surrounds the testing machine to contain fragments in case of catastrophic specimen failure.</w:t>
      </w:r>
    </w:p>
    <w:p>
      <w:pPr>
        <w:numPr>
          <w:ilvl w:val="0"/>
          <w:numId w:val="1003"/>
        </w:numPr>
        <w:pStyle w:val="Compact"/>
      </w:pPr>
      <w:r>
        <w:t xml:space="preserve">Emergency stop buttons are clearly marked and accessible from all sides of the equipment.</w:t>
      </w:r>
    </w:p>
    <w:p>
      <w:pPr>
        <w:numPr>
          <w:ilvl w:val="0"/>
          <w:numId w:val="1003"/>
        </w:numPr>
        <w:pStyle w:val="Compact"/>
      </w:pPr>
      <w:r>
        <w:t xml:space="preserve">Only certified Aerospace Engineers or technicians are permitted to operate the hydraulic systems.</w:t>
      </w:r>
    </w:p>
    <w:bookmarkEnd w:id="30"/>
    <w:bookmarkStart w:id="31" w:name="data-analysis-and-reporting"/>
    <w:p>
      <w:pPr>
        <w:pStyle w:val="Heading2"/>
      </w:pPr>
      <w:r>
        <w:t xml:space="preserve">6. Data Analysis and Reporting</w:t>
      </w:r>
    </w:p>
    <w:p>
      <w:pPr>
        <w:pStyle w:val="FirstParagraph"/>
      </w:pPr>
      <w:r>
        <w:t xml:space="preserve">Upon completion of the tests, the data will be processed to generate the S-N curve. Statistical analysis will be performed to determine the mean fatigue life and the scatter band for each stress level. Any anomalies or unexpected failure modes will be documented in detail. The final report will be submitted to the project stakeholders in Lyon and reviewed for compliance with the initial design requirements.</w:t>
      </w:r>
    </w:p>
    <w:bookmarkEnd w:id="31"/>
    <w:bookmarkStart w:id="32" w:name="signatures"/>
    <w:p>
      <w:pPr>
        <w:pStyle w:val="Heading2"/>
      </w:pPr>
      <w:r>
        <w:t xml:space="preserve">7. Signatures</w:t>
      </w:r>
    </w:p>
    <w:p>
      <w:pPr>
        <w:pStyle w:val="FirstParagraph"/>
      </w:pPr>
      <w:r>
        <w:t xml:space="preserve">By signing below, the undersigned confirm that they have read, understood, and will adhere to this Experiment Protocol.</w:t>
      </w:r>
    </w:p>
    <w:p>
      <w:pPr>
        <w:pStyle w:val="BodyText"/>
      </w:pPr>
      <w:r>
        <w:rPr>
          <w:bCs/>
          <w:b/>
        </w:rPr>
        <w:t xml:space="preserve">Lead Aerospace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Laboratory Manager (Lyon):</w:t>
      </w:r>
    </w:p>
    <w:p>
      <w:pPr>
        <w:pStyle w:val="BodyText"/>
      </w:pPr>
      <w:r>
        <w:t xml:space="preserve">Name: ________________________</w:t>
      </w:r>
    </w:p>
    <w:p>
      <w:pPr>
        <w:pStyle w:val="BodyText"/>
      </w:pPr>
      <w:r>
        <w:t xml:space="preserve">Date: 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Composite Fatigue Testing</dc:title>
  <dc:creator/>
  <dc:language>en</dc:language>
  <cp:keywords/>
  <dcterms:created xsi:type="dcterms:W3CDTF">2026-10-10T00:33:10Z</dcterms:created>
  <dcterms:modified xsi:type="dcterms:W3CDTF">2026-10-10T00:33:10Z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