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Engineering</w:t>
      </w:r>
      <w:r>
        <w:t xml:space="preserve"> </w:t>
      </w:r>
      <w:r>
        <w:t xml:space="preserve">-</w:t>
      </w:r>
      <w:r>
        <w:t xml:space="preserve"> </w:t>
      </w:r>
      <w:r>
        <w:t xml:space="preserve">Frankfurt,</w:t>
      </w:r>
      <w:r>
        <w:t xml:space="preserve"> </w:t>
      </w:r>
      <w:r>
        <w:t xml:space="preserve">Germany</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Aerodynamic Efficiency Testing of Next-Generation Turbine Blades</w:t>
      </w:r>
    </w:p>
    <w:p>
      <w:pPr>
        <w:pStyle w:val="BodyText"/>
      </w:pPr>
      <w:r>
        <w:rPr>
          <w:bCs/>
          <w:b/>
        </w:rPr>
        <w:t xml:space="preserve">Location:</w:t>
      </w:r>
      <w:r>
        <w:t xml:space="preserve"> </w:t>
      </w:r>
      <w:r>
        <w:t xml:space="preserve">Frankfurt, Germany</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Dr. Hans Müller, Senior Aerospace Engineer</w:t>
      </w:r>
    </w:p>
    <w:bookmarkEnd w:id="20"/>
    <w:bookmarkStart w:id="21" w:name="introduction"/>
    <w:p>
      <w:pPr>
        <w:pStyle w:val="Heading2"/>
      </w:pPr>
      <w:r>
        <w:t xml:space="preserve">1. Introduction</w:t>
      </w:r>
    </w:p>
    <w:p>
      <w:pPr>
        <w:pStyle w:val="FirstParagraph"/>
      </w:pPr>
      <w:r>
        <w:t xml:space="preserve">This Experiment Protocol outlines the procedures and methodologies for testing the aerodynamic efficiency of next-generation turbine blades designed for commercial aircraft engines. The experiments will be conducted at the Aerospace Research Facility in Frankfurt, Germany, a leading center for aviation technology and innovation. The primary objective is to evaluate the performance of these blades under various operational conditions to ensure they meet the stringent safety and efficiency standards required by the European Union Aviation Safety Agency (EASA).</w:t>
      </w:r>
    </w:p>
    <w:bookmarkEnd w:id="21"/>
    <w:bookmarkStart w:id="22" w:name="objectives"/>
    <w:p>
      <w:pPr>
        <w:pStyle w:val="Heading2"/>
      </w:pPr>
      <w:r>
        <w:t xml:space="preserve">2. Objectives</w:t>
      </w:r>
    </w:p>
    <w:p>
      <w:pPr>
        <w:numPr>
          <w:ilvl w:val="0"/>
          <w:numId w:val="1001"/>
        </w:numPr>
        <w:pStyle w:val="Compact"/>
      </w:pPr>
      <w:r>
        <w:t xml:space="preserve">To measure the lift-to-drag ratio of the new turbine blade design.</w:t>
      </w:r>
    </w:p>
    <w:p>
      <w:pPr>
        <w:numPr>
          <w:ilvl w:val="0"/>
          <w:numId w:val="1001"/>
        </w:numPr>
        <w:pStyle w:val="Compact"/>
      </w:pPr>
      <w:r>
        <w:t xml:space="preserve">To assess the structural integrity of the blades under high-stress conditions.</w:t>
      </w:r>
    </w:p>
    <w:p>
      <w:pPr>
        <w:numPr>
          <w:ilvl w:val="0"/>
          <w:numId w:val="1001"/>
        </w:numPr>
        <w:pStyle w:val="Compact"/>
      </w:pPr>
      <w:r>
        <w:t xml:space="preserve">To analyze the thermal performance of the blades during prolonged operation.</w:t>
      </w:r>
    </w:p>
    <w:p>
      <w:pPr>
        <w:numPr>
          <w:ilvl w:val="0"/>
          <w:numId w:val="1001"/>
        </w:numPr>
        <w:pStyle w:val="Compact"/>
      </w:pPr>
      <w:r>
        <w:t xml:space="preserve">To compare the performance of the new design with existing models.</w:t>
      </w:r>
    </w:p>
    <w:bookmarkEnd w:id="22"/>
    <w:bookmarkStart w:id="23" w:name="scope"/>
    <w:p>
      <w:pPr>
        <w:pStyle w:val="Heading2"/>
      </w:pPr>
      <w:r>
        <w:t xml:space="preserve">3. Scope</w:t>
      </w:r>
    </w:p>
    <w:p>
      <w:pPr>
        <w:pStyle w:val="FirstParagraph"/>
      </w:pPr>
      <w:r>
        <w:t xml:space="preserve">The scope of this experiment includes:</w:t>
      </w:r>
    </w:p>
    <w:p>
      <w:pPr>
        <w:numPr>
          <w:ilvl w:val="0"/>
          <w:numId w:val="1002"/>
        </w:numPr>
        <w:pStyle w:val="Compact"/>
      </w:pPr>
      <w:r>
        <w:t xml:space="preserve">Wind tunnel testing at varying speeds and angles of attack.</w:t>
      </w:r>
    </w:p>
    <w:p>
      <w:pPr>
        <w:numPr>
          <w:ilvl w:val="0"/>
          <w:numId w:val="1002"/>
        </w:numPr>
        <w:pStyle w:val="Compact"/>
      </w:pPr>
      <w:r>
        <w:t xml:space="preserve">Thermal cycling tests to simulate real-world operating conditions.</w:t>
      </w:r>
    </w:p>
    <w:p>
      <w:pPr>
        <w:numPr>
          <w:ilvl w:val="0"/>
          <w:numId w:val="1002"/>
        </w:numPr>
        <w:pStyle w:val="Compact"/>
      </w:pPr>
      <w:r>
        <w:t xml:space="preserve">Structural load tests to determine the maximum stress the blades can withstand.</w:t>
      </w:r>
    </w:p>
    <w:p>
      <w:pPr>
        <w:numPr>
          <w:ilvl w:val="0"/>
          <w:numId w:val="1002"/>
        </w:numPr>
        <w:pStyle w:val="Compact"/>
      </w:pPr>
      <w:r>
        <w:t xml:space="preserve">Data collection and analysis using advanced computational tools.</w:t>
      </w:r>
    </w:p>
    <w:bookmarkEnd w:id="23"/>
    <w:bookmarkStart w:id="27" w:name="methodology"/>
    <w:p>
      <w:pPr>
        <w:pStyle w:val="Heading2"/>
      </w:pPr>
      <w:r>
        <w:t xml:space="preserve">4. Methodology</w:t>
      </w:r>
    </w:p>
    <w:bookmarkStart w:id="24" w:name="wind-tunnel-testing"/>
    <w:p>
      <w:pPr>
        <w:pStyle w:val="Heading3"/>
      </w:pPr>
      <w:r>
        <w:t xml:space="preserve">4.1 Wind Tunnel Testing</w:t>
      </w:r>
    </w:p>
    <w:p>
      <w:pPr>
        <w:pStyle w:val="FirstParagraph"/>
      </w:pPr>
      <w:r>
        <w:t xml:space="preserve">The wind tunnel tests will be conducted in the high-speed wind tunnel facility at the Aerospace Research Center in Frankfurt. The turbine blades will be mounted on a test rig and subjected to airflow at speeds ranging from 100 m/s to 300 m/s. The angles of attack will be varied from -5 degrees to 15 degrees to simulate different flight conditions. Pressure sensors and strain gauges will be used to collect data on lift, drag, and structural deformation.</w:t>
      </w:r>
    </w:p>
    <w:bookmarkEnd w:id="24"/>
    <w:bookmarkStart w:id="25" w:name="thermal-cycling-tests"/>
    <w:p>
      <w:pPr>
        <w:pStyle w:val="Heading3"/>
      </w:pPr>
      <w:r>
        <w:t xml:space="preserve">4.2 Thermal Cycling Tests</w:t>
      </w:r>
    </w:p>
    <w:p>
      <w:pPr>
        <w:pStyle w:val="FirstParagraph"/>
      </w:pPr>
      <w:r>
        <w:t xml:space="preserve">The thermal cycling tests will be performed in a specialized environmental chamber. The turbine blades will be exposed to temperature cycles ranging from -50°C to 1200°C to simulate the extreme conditions encountered during takeoff, cruise, and landing. Infrared cameras and thermocouples will be used to monitor the temperature distribution and thermal expansion of the blades.</w:t>
      </w:r>
    </w:p>
    <w:bookmarkEnd w:id="25"/>
    <w:bookmarkStart w:id="26" w:name="structural-load-tests"/>
    <w:p>
      <w:pPr>
        <w:pStyle w:val="Heading3"/>
      </w:pPr>
      <w:r>
        <w:t xml:space="preserve">4.3 Structural Load Tests</w:t>
      </w:r>
    </w:p>
    <w:p>
      <w:pPr>
        <w:pStyle w:val="FirstParagraph"/>
      </w:pPr>
      <w:r>
        <w:t xml:space="preserve">The structural load tests will be conducted using a hydraulic testing machine. The turbine blades will be subjected to increasing loads until failure to determine their ultimate strength. The tests will be repeated multiple times to ensure the reliability of the results. High-speed cameras will be used to capture the deformation and failure modes of the blades.</w:t>
      </w:r>
    </w:p>
    <w:bookmarkEnd w:id="26"/>
    <w:bookmarkEnd w:id="27"/>
    <w:bookmarkStart w:id="28" w:name="equipment-and-materials"/>
    <w:p>
      <w:pPr>
        <w:pStyle w:val="Heading2"/>
      </w:pPr>
      <w:r>
        <w:t xml:space="preserve">5.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High-Speed Wind Tunnel</w:t>
            </w:r>
          </w:p>
        </w:tc>
        <w:tc>
          <w:tcPr/>
          <w:p>
            <w:pPr>
              <w:pStyle w:val="Compact"/>
              <w:jc w:val="left"/>
            </w:pPr>
            <w:r>
              <w:t xml:space="preserve">Capable of speeds up to 300 m/s</w:t>
            </w:r>
          </w:p>
        </w:tc>
        <w:tc>
          <w:tcPr/>
          <w:p>
            <w:pPr>
              <w:pStyle w:val="Compact"/>
              <w:jc w:val="left"/>
            </w:pPr>
            <w:r>
              <w:t xml:space="preserve">1</w:t>
            </w:r>
          </w:p>
        </w:tc>
      </w:tr>
      <w:tr>
        <w:tc>
          <w:tcPr/>
          <w:p>
            <w:pPr>
              <w:pStyle w:val="Compact"/>
              <w:jc w:val="left"/>
            </w:pPr>
            <w:r>
              <w:t xml:space="preserve">Environmental Chamber</w:t>
            </w:r>
          </w:p>
        </w:tc>
        <w:tc>
          <w:tcPr/>
          <w:p>
            <w:pPr>
              <w:pStyle w:val="Compact"/>
              <w:jc w:val="left"/>
            </w:pPr>
            <w:r>
              <w:t xml:space="preserve">Temperature range: -50°C to 1200°C</w:t>
            </w:r>
          </w:p>
        </w:tc>
        <w:tc>
          <w:tcPr/>
          <w:p>
            <w:pPr>
              <w:pStyle w:val="Compact"/>
              <w:jc w:val="left"/>
            </w:pPr>
            <w:r>
              <w:t xml:space="preserve">1</w:t>
            </w:r>
          </w:p>
        </w:tc>
      </w:tr>
      <w:tr>
        <w:tc>
          <w:tcPr/>
          <w:p>
            <w:pPr>
              <w:pStyle w:val="Compact"/>
              <w:jc w:val="left"/>
            </w:pPr>
            <w:r>
              <w:t xml:space="preserve">Hydraulic Testing Machine</w:t>
            </w:r>
          </w:p>
        </w:tc>
        <w:tc>
          <w:tcPr/>
          <w:p>
            <w:pPr>
              <w:pStyle w:val="Compact"/>
              <w:jc w:val="left"/>
            </w:pPr>
            <w:r>
              <w:t xml:space="preserve">Load capacity: 1000 kN</w:t>
            </w:r>
          </w:p>
        </w:tc>
        <w:tc>
          <w:tcPr/>
          <w:p>
            <w:pPr>
              <w:pStyle w:val="Compact"/>
              <w:jc w:val="left"/>
            </w:pPr>
            <w:r>
              <w:t xml:space="preserve">1</w:t>
            </w:r>
          </w:p>
        </w:tc>
      </w:tr>
      <w:tr>
        <w:tc>
          <w:tcPr/>
          <w:p>
            <w:pPr>
              <w:pStyle w:val="Compact"/>
              <w:jc w:val="left"/>
            </w:pPr>
            <w:r>
              <w:t xml:space="preserve">Pressure Sensors</w:t>
            </w:r>
          </w:p>
        </w:tc>
        <w:tc>
          <w:tcPr/>
          <w:p>
            <w:pPr>
              <w:pStyle w:val="Compact"/>
              <w:jc w:val="left"/>
            </w:pPr>
            <w:r>
              <w:t xml:space="preserve">High-precision, range: 0-1000 kPa</w:t>
            </w:r>
          </w:p>
        </w:tc>
        <w:tc>
          <w:tcPr/>
          <w:p>
            <w:pPr>
              <w:pStyle w:val="Compact"/>
              <w:jc w:val="left"/>
            </w:pPr>
            <w:r>
              <w:t xml:space="preserve">50</w:t>
            </w:r>
          </w:p>
        </w:tc>
      </w:tr>
      <w:tr>
        <w:tc>
          <w:tcPr/>
          <w:p>
            <w:pPr>
              <w:pStyle w:val="Compact"/>
              <w:jc w:val="left"/>
            </w:pPr>
            <w:r>
              <w:t xml:space="preserve">Strain Gauges</w:t>
            </w:r>
          </w:p>
        </w:tc>
        <w:tc>
          <w:tcPr/>
          <w:p>
            <w:pPr>
              <w:pStyle w:val="Compact"/>
              <w:jc w:val="left"/>
            </w:pPr>
            <w:r>
              <w:t xml:space="preserve">High-sensitivity, range: 0-5000 µε</w:t>
            </w:r>
          </w:p>
        </w:tc>
        <w:tc>
          <w:tcPr/>
          <w:p>
            <w:pPr>
              <w:pStyle w:val="Compact"/>
              <w:jc w:val="left"/>
            </w:pPr>
            <w:r>
              <w:t xml:space="preserve">100</w:t>
            </w:r>
          </w:p>
        </w:tc>
      </w:tr>
      <w:tr>
        <w:tc>
          <w:tcPr/>
          <w:p>
            <w:pPr>
              <w:pStyle w:val="Compact"/>
              <w:jc w:val="left"/>
            </w:pPr>
            <w:r>
              <w:t xml:space="preserve">Infrared Cameras</w:t>
            </w:r>
          </w:p>
        </w:tc>
        <w:tc>
          <w:tcPr/>
          <w:p>
            <w:pPr>
              <w:pStyle w:val="Compact"/>
              <w:jc w:val="left"/>
            </w:pPr>
            <w:r>
              <w:t xml:space="preserve">Resolution: 640x480, range: -20°C to 1500°C</w:t>
            </w:r>
          </w:p>
        </w:tc>
        <w:tc>
          <w:tcPr/>
          <w:p>
            <w:pPr>
              <w:pStyle w:val="Compact"/>
              <w:jc w:val="left"/>
            </w:pPr>
            <w:r>
              <w:t xml:space="preserve">2</w:t>
            </w:r>
          </w:p>
        </w:tc>
      </w:tr>
      <w:tr>
        <w:tc>
          <w:tcPr/>
          <w:p>
            <w:pPr>
              <w:pStyle w:val="Compact"/>
              <w:jc w:val="left"/>
            </w:pPr>
            <w:r>
              <w:t xml:space="preserve">Thermocouples</w:t>
            </w:r>
          </w:p>
        </w:tc>
        <w:tc>
          <w:tcPr/>
          <w:p>
            <w:pPr>
              <w:pStyle w:val="Compact"/>
              <w:jc w:val="left"/>
            </w:pPr>
            <w:r>
              <w:t xml:space="preserve">Type K, range: -200°C to 1260°C</w:t>
            </w:r>
          </w:p>
        </w:tc>
        <w:tc>
          <w:tcPr/>
          <w:p>
            <w:pPr>
              <w:pStyle w:val="Compact"/>
              <w:jc w:val="left"/>
            </w:pPr>
            <w:r>
              <w:t xml:space="preserve">50</w:t>
            </w:r>
          </w:p>
        </w:tc>
      </w:tr>
      <w:tr>
        <w:tc>
          <w:tcPr/>
          <w:p>
            <w:pPr>
              <w:pStyle w:val="Compact"/>
              <w:jc w:val="left"/>
            </w:pPr>
            <w:r>
              <w:t xml:space="preserve">High-Speed Cameras</w:t>
            </w:r>
          </w:p>
        </w:tc>
        <w:tc>
          <w:tcPr/>
          <w:p>
            <w:pPr>
              <w:pStyle w:val="Compact"/>
              <w:jc w:val="left"/>
            </w:pPr>
            <w:r>
              <w:t xml:space="preserve">Frame rate: 10,000 fps</w:t>
            </w:r>
          </w:p>
        </w:tc>
        <w:tc>
          <w:tcPr/>
          <w:p>
            <w:pPr>
              <w:pStyle w:val="Compact"/>
              <w:jc w:val="left"/>
            </w:pPr>
            <w:r>
              <w:t xml:space="preserve">2</w:t>
            </w:r>
          </w:p>
        </w:tc>
      </w:tr>
    </w:tbl>
    <w:bookmarkEnd w:id="28"/>
    <w:bookmarkStart w:id="29" w:name="safety-procedures"/>
    <w:p>
      <w:pPr>
        <w:pStyle w:val="Heading2"/>
      </w:pPr>
      <w:r>
        <w:t xml:space="preserve">6. Safety Procedures</w:t>
      </w:r>
    </w:p>
    <w:p>
      <w:pPr>
        <w:pStyle w:val="FirstParagraph"/>
      </w:pPr>
      <w:r>
        <w:t xml:space="preserve">All personnel involved in the experiment must adhere to the following safety procedures:</w:t>
      </w:r>
    </w:p>
    <w:p>
      <w:pPr>
        <w:numPr>
          <w:ilvl w:val="0"/>
          <w:numId w:val="1003"/>
        </w:numPr>
        <w:pStyle w:val="Compact"/>
      </w:pPr>
      <w:r>
        <w:t xml:space="preserve">Wear appropriate personal protective equipment (PPE), including safety glasses, gloves, and steel-toed boots.</w:t>
      </w:r>
    </w:p>
    <w:p>
      <w:pPr>
        <w:numPr>
          <w:ilvl w:val="0"/>
          <w:numId w:val="1003"/>
        </w:numPr>
        <w:pStyle w:val="Compact"/>
      </w:pPr>
      <w:r>
        <w:t xml:space="preserve">Follow all operational guidelines for the use of the wind tunnel, environmental chamber, and hydraulic testing machine.</w:t>
      </w:r>
    </w:p>
    <w:p>
      <w:pPr>
        <w:numPr>
          <w:ilvl w:val="0"/>
          <w:numId w:val="1003"/>
        </w:numPr>
        <w:pStyle w:val="Compact"/>
      </w:pPr>
      <w:r>
        <w:t xml:space="preserve">Ensure that all equipment is properly calibrated and maintained before use.</w:t>
      </w:r>
    </w:p>
    <w:p>
      <w:pPr>
        <w:numPr>
          <w:ilvl w:val="0"/>
          <w:numId w:val="1003"/>
        </w:numPr>
        <w:pStyle w:val="Compact"/>
      </w:pPr>
      <w:r>
        <w:t xml:space="preserve">Conduct regular safety inspections and drills.</w:t>
      </w:r>
    </w:p>
    <w:p>
      <w:pPr>
        <w:numPr>
          <w:ilvl w:val="0"/>
          <w:numId w:val="1003"/>
        </w:numPr>
        <w:pStyle w:val="Compact"/>
      </w:pPr>
      <w:r>
        <w:t xml:space="preserve">Report any incidents or near-misses immediately to the safety officer.</w:t>
      </w:r>
    </w:p>
    <w:bookmarkEnd w:id="29"/>
    <w:bookmarkStart w:id="30" w:name="data-collection-and-analysis"/>
    <w:p>
      <w:pPr>
        <w:pStyle w:val="Heading2"/>
      </w:pPr>
      <w:r>
        <w:t xml:space="preserve">7. Data Collection and Analysis</w:t>
      </w:r>
    </w:p>
    <w:p>
      <w:pPr>
        <w:pStyle w:val="FirstParagraph"/>
      </w:pPr>
      <w:r>
        <w:t xml:space="preserve">Data will be collected using a combination of sensors, cameras, and data acquisition systems. The data will be analyzed using advanced computational tools to determine the aerodynamic efficiency, structural integrity, and thermal performance of the turbine blades. The results will be compared with the performance of existing models to assess the improvements offered by the new design.</w:t>
      </w:r>
    </w:p>
    <w:bookmarkEnd w:id="30"/>
    <w:bookmarkStart w:id="31"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Task</w:t>
            </w:r>
          </w:p>
        </w:tc>
        <w:tc>
          <w:tcPr/>
          <w:p>
            <w:pPr>
              <w:pStyle w:val="Compact"/>
              <w:jc w:val="left"/>
            </w:pPr>
            <w:r>
              <w:t xml:space="preserve">Start Date</w:t>
            </w:r>
          </w:p>
        </w:tc>
        <w:tc>
          <w:tcPr/>
          <w:p>
            <w:pPr>
              <w:pStyle w:val="Compact"/>
              <w:jc w:val="left"/>
            </w:pPr>
            <w:r>
              <w:t xml:space="preserve">End Date</w:t>
            </w:r>
          </w:p>
        </w:tc>
      </w:tr>
      <w:tr>
        <w:tc>
          <w:tcPr/>
          <w:p>
            <w:pPr>
              <w:pStyle w:val="Compact"/>
              <w:jc w:val="left"/>
            </w:pPr>
            <w:r>
              <w:t xml:space="preserve">Preparation and Setup</w:t>
            </w:r>
          </w:p>
        </w:tc>
        <w:tc>
          <w:tcPr/>
          <w:p>
            <w:pPr>
              <w:pStyle w:val="Compact"/>
              <w:jc w:val="left"/>
            </w:pPr>
            <w:r>
              <w:t xml:space="preserve">October 15, 2023</w:t>
            </w:r>
          </w:p>
        </w:tc>
        <w:tc>
          <w:tcPr/>
          <w:p>
            <w:pPr>
              <w:pStyle w:val="Compact"/>
              <w:jc w:val="left"/>
            </w:pPr>
            <w:r>
              <w:t xml:space="preserve">October 20, 2023</w:t>
            </w:r>
          </w:p>
        </w:tc>
      </w:tr>
      <w:tr>
        <w:tc>
          <w:tcPr/>
          <w:p>
            <w:pPr>
              <w:pStyle w:val="Compact"/>
              <w:jc w:val="left"/>
            </w:pPr>
            <w:r>
              <w:t xml:space="preserve">Wind Tunnel Testing</w:t>
            </w:r>
          </w:p>
        </w:tc>
        <w:tc>
          <w:tcPr/>
          <w:p>
            <w:pPr>
              <w:pStyle w:val="Compact"/>
              <w:jc w:val="left"/>
            </w:pPr>
            <w:r>
              <w:t xml:space="preserve">October 21, 2023</w:t>
            </w:r>
          </w:p>
        </w:tc>
        <w:tc>
          <w:tcPr/>
          <w:p>
            <w:pPr>
              <w:pStyle w:val="Compact"/>
              <w:jc w:val="left"/>
            </w:pPr>
            <w:r>
              <w:t xml:space="preserve">November 10, 2023</w:t>
            </w:r>
          </w:p>
        </w:tc>
      </w:tr>
      <w:tr>
        <w:tc>
          <w:tcPr/>
          <w:p>
            <w:pPr>
              <w:pStyle w:val="Compact"/>
              <w:jc w:val="left"/>
            </w:pPr>
            <w:r>
              <w:t xml:space="preserve">Thermal Cycling Tests</w:t>
            </w:r>
          </w:p>
        </w:tc>
        <w:tc>
          <w:tcPr/>
          <w:p>
            <w:pPr>
              <w:pStyle w:val="Compact"/>
              <w:jc w:val="left"/>
            </w:pPr>
            <w:r>
              <w:t xml:space="preserve">November 11, 2023</w:t>
            </w:r>
          </w:p>
        </w:tc>
        <w:tc>
          <w:tcPr/>
          <w:p>
            <w:pPr>
              <w:pStyle w:val="Compact"/>
              <w:jc w:val="left"/>
            </w:pPr>
            <w:r>
              <w:t xml:space="preserve">November 30, 2023</w:t>
            </w:r>
          </w:p>
        </w:tc>
      </w:tr>
      <w:tr>
        <w:tc>
          <w:tcPr/>
          <w:p>
            <w:pPr>
              <w:pStyle w:val="Compact"/>
              <w:jc w:val="left"/>
            </w:pPr>
            <w:r>
              <w:t xml:space="preserve">Structural Load Tests</w:t>
            </w:r>
          </w:p>
        </w:tc>
        <w:tc>
          <w:tcPr/>
          <w:p>
            <w:pPr>
              <w:pStyle w:val="Compact"/>
              <w:jc w:val="left"/>
            </w:pPr>
            <w:r>
              <w:t xml:space="preserve">December 1, 2023</w:t>
            </w:r>
          </w:p>
        </w:tc>
        <w:tc>
          <w:tcPr/>
          <w:p>
            <w:pPr>
              <w:pStyle w:val="Compact"/>
              <w:jc w:val="left"/>
            </w:pPr>
            <w:r>
              <w:t xml:space="preserve">December 15, 2023</w:t>
            </w:r>
          </w:p>
        </w:tc>
      </w:tr>
      <w:tr>
        <w:tc>
          <w:tcPr/>
          <w:p>
            <w:pPr>
              <w:pStyle w:val="Compact"/>
              <w:jc w:val="left"/>
            </w:pPr>
            <w:r>
              <w:t xml:space="preserve">Data Analysis and Reporting</w:t>
            </w:r>
          </w:p>
        </w:tc>
        <w:tc>
          <w:tcPr/>
          <w:p>
            <w:pPr>
              <w:pStyle w:val="Compact"/>
              <w:jc w:val="left"/>
            </w:pPr>
            <w:r>
              <w:t xml:space="preserve">December 16, 2023</w:t>
            </w:r>
          </w:p>
        </w:tc>
        <w:tc>
          <w:tcPr/>
          <w:p>
            <w:pPr>
              <w:pStyle w:val="Compact"/>
              <w:jc w:val="left"/>
            </w:pPr>
            <w:r>
              <w:t xml:space="preserve">January 15, 2024</w:t>
            </w:r>
          </w:p>
        </w:tc>
      </w:tr>
    </w:tbl>
    <w:bookmarkEnd w:id="31"/>
    <w:bookmarkStart w:id="32" w:name="conclusion"/>
    <w:p>
      <w:pPr>
        <w:pStyle w:val="Heading2"/>
      </w:pPr>
      <w:r>
        <w:t xml:space="preserve">9. Conclusion</w:t>
      </w:r>
    </w:p>
    <w:p>
      <w:pPr>
        <w:pStyle w:val="FirstParagraph"/>
      </w:pPr>
      <w:r>
        <w:t xml:space="preserve">This Experiment Protocol provides a comprehensive framework for testing the aerodynamic efficiency of next-generation turbine blades. By following the outlined procedures and methodologies, we aim to ensure that the new design meets the highest standards of safety and performance. The results of these tests will be crucial in advancing the field of aerospace engineering and contributing to the development of more efficient and sustainable aircraft engines.</w:t>
      </w:r>
    </w:p>
    <w:bookmarkEnd w:id="32"/>
    <w:p>
      <w:pPr>
        <w:pStyle w:val="BodyText"/>
      </w:pPr>
      <w:r>
        <w:rPr>
          <w:bCs/>
          <w:b/>
        </w:rPr>
        <w:t xml:space="preserve">Prepared by:</w:t>
      </w:r>
    </w:p>
    <w:p>
      <w:pPr>
        <w:pStyle w:val="BodyText"/>
      </w:pPr>
      <w:r>
        <w:t xml:space="preserve">Dr. Hans Müller</w:t>
      </w:r>
    </w:p>
    <w:p>
      <w:pPr>
        <w:pStyle w:val="BodyText"/>
      </w:pPr>
      <w:r>
        <w:t xml:space="preserve">Senior Aerospace Engineer</w:t>
      </w:r>
    </w:p>
    <w:p>
      <w:pPr>
        <w:pStyle w:val="BodyText"/>
      </w:pPr>
      <w:r>
        <w:t xml:space="preserve">Aerospace Research Facility, Frankfurt, Germany</w:t>
      </w:r>
    </w:p>
    <w:p>
      <w:pPr>
        <w:pStyle w:val="BodyText"/>
      </w:pPr>
      <w:r>
        <w:t xml:space="preserve">Date: 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Engineering - Frankfurt, Germany</dc:title>
  <dc:creator/>
  <dc:language>en</dc:language>
  <cp:keywords/>
  <dcterms:created xsi:type="dcterms:W3CDTF">2026-10-10T00:31:55Z</dcterms:created>
  <dcterms:modified xsi:type="dcterms:W3CDTF">2026-10-10T00:31:55Z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