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Tehran,</w:t>
      </w:r>
      <w:r>
        <w:t xml:space="preserve"> </w:t>
      </w:r>
      <w:r>
        <w:t xml:space="preserve">Iran</w:t>
      </w:r>
    </w:p>
    <w:bookmarkStart w:id="20" w:name="Xcb9fbbe4779621480bba378bca88e576ece2429"/>
    <w:p>
      <w:pPr>
        <w:pStyle w:val="Heading1"/>
      </w:pPr>
      <w:r>
        <w:t xml:space="preserve">Experiment Protocol: High-Altitude Aerodynamic Testing of Composite Materials</w:t>
      </w:r>
    </w:p>
    <w:p>
      <w:pPr>
        <w:pStyle w:val="FirstParagraph"/>
      </w:pPr>
      <w:r>
        <w:rPr>
          <w:bCs/>
          <w:b/>
        </w:rPr>
        <w:t xml:space="preserve">Location:</w:t>
      </w:r>
      <w:r>
        <w:t xml:space="preserve"> </w:t>
      </w:r>
      <w:r>
        <w:t xml:space="preserve">Aerospace Research Institute, Tehran, Iran</w:t>
      </w:r>
    </w:p>
    <w:p>
      <w:pPr>
        <w:pStyle w:val="BodyText"/>
      </w:pPr>
      <w:r>
        <w:rPr>
          <w:bCs/>
          <w:b/>
        </w:rPr>
        <w:t xml:space="preserve">Lead Investigator:</w:t>
      </w:r>
      <w:r>
        <w:t xml:space="preserve"> </w:t>
      </w:r>
      <w:r>
        <w:t xml:space="preserve">Senior Aerospace Engineer</w:t>
      </w:r>
    </w:p>
    <w:p>
      <w:pPr>
        <w:pStyle w:val="BodyText"/>
      </w:pPr>
      <w:r>
        <w:rPr>
          <w:bCs/>
          <w:b/>
        </w:rPr>
        <w:t xml:space="preserve">Protocol ID:</w:t>
      </w:r>
      <w:r>
        <w:t xml:space="preserve"> </w:t>
      </w:r>
      <w:r>
        <w:t xml:space="preserve">IRN-AERO-TEH-2023-045</w:t>
      </w:r>
    </w:p>
    <w:p>
      <w:pPr>
        <w:pStyle w:val="BodyText"/>
      </w:pPr>
      <w:r>
        <w:rPr>
          <w:bCs/>
          <w:b/>
        </w:rPr>
        <w:t xml:space="preserve">Date of Issue:</w:t>
      </w:r>
      <w:r>
        <w:t xml:space="preserve"> </w:t>
      </w:r>
      <w:r>
        <w:t xml:space="preserve">October 24, 2023</w:t>
      </w:r>
    </w:p>
    <w:bookmarkEnd w:id="20"/>
    <w:p>
      <w:pPr>
        <w:pStyle w:val="BodyText"/>
      </w:pPr>
      <w:r>
        <w:t xml:space="preserve">1. Introduction and Objective</w:t>
      </w:r>
    </w:p>
    <w:p>
      <w:pPr>
        <w:pStyle w:val="BodyText"/>
      </w:pPr>
      <w:r>
        <w:t xml:space="preserve">This Experiment Protocol outlines the rigorous procedures required for the testing of advanced carbon-fiber reinforced polymer (CFRP) components under simulated high-altitude conditions. The primary objective is to evaluate the structural integrity and thermal stability of these materials when subjected to the specific atmospheric conditions prevalent in the upper troposphere and lower stratosphere.</w:t>
      </w:r>
    </w:p>
    <w:p>
      <w:pPr>
        <w:pStyle w:val="BodyText"/>
      </w:pPr>
      <w:r>
        <w:t xml:space="preserve">As an Aerospace Engineer operating within the technical infrastructure of Tehran, Iran, this study is critical for the development of indigenous aerospace technologies. The unique geographical location of Tehran, situated at an elevation of approximately 1,000 to 1,200 meters above sea level, provides a distinct baseline for atmospheric pressure and temperature calibration. This protocol ensures that all experimental data aligns with international standards while addressing the specific environmental variables relevant to the region.</w:t>
      </w:r>
    </w:p>
    <w:p>
      <w:pPr>
        <w:pStyle w:val="BodyText"/>
      </w:pPr>
      <w:r>
        <w:t xml:space="preserve">2. Scope and Applicability</w:t>
      </w:r>
    </w:p>
    <w:p>
      <w:pPr>
        <w:pStyle w:val="BodyText"/>
      </w:pPr>
      <w:r>
        <w:t xml:space="preserve">This protocol applies to all personnel involved in the wind tunnel testing and thermal vacuum chamber simulations at the designated facility in Tehran. It covers the preparation of test articles, the calibration of instrumentation, the execution of the flight simulation profiles, and the subsequent data analysis. The scope is limited to subsonic and transonic flow regimes relevant to unmanned aerial vehicles (UAVs) and high-altitude reconnaissance platforms.</w:t>
      </w:r>
    </w:p>
    <w:p>
      <w:pPr>
        <w:pStyle w:val="BodyText"/>
      </w:pPr>
      <w:r>
        <w:t xml:space="preserve">3. Environmental Considerations: Tehran Context</w:t>
      </w:r>
    </w:p>
    <w:p>
      <w:pPr>
        <w:pStyle w:val="BodyText"/>
      </w:pPr>
      <w:r>
        <w:t xml:space="preserve">The experimental design must account for the local environmental factors of Tehran. The facility's intake systems must be calibrated to filter particulate matter common in the urban and semi-arid environment of the capital. Furthermore, the ambient temperature fluctuations typical of Tehran's climate must be factored into the baseline thermal readings of the testing chambers. The Aerospace Engineer is responsible for ensuring that the humidity control systems compensate for the low relative humidity often experienced in the region, which can affect the curing and bonding properties of composite materials prior to testing.</w:t>
      </w:r>
    </w:p>
    <w:p>
      <w:pPr>
        <w:pStyle w:val="BodyText"/>
      </w:pPr>
      <w:r>
        <w:t xml:space="preserve">4. Equipment and Instrumentation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 Name</w:t>
            </w:r>
          </w:p>
        </w:tc>
        <w:tc>
          <w:tcPr/>
          <w:p>
            <w:pPr>
              <w:pStyle w:val="Compact"/>
              <w:jc w:val="left"/>
            </w:pPr>
            <w:r>
              <w:t xml:space="preserve">Specification</w:t>
            </w:r>
          </w:p>
        </w:tc>
        <w:tc>
          <w:tcPr/>
          <w:p>
            <w:pPr>
              <w:pStyle w:val="Compact"/>
              <w:jc w:val="left"/>
            </w:pPr>
            <w:r>
              <w:t xml:space="preserve">Calibration Status</w:t>
            </w:r>
          </w:p>
        </w:tc>
      </w:tr>
      <w:tr>
        <w:tc>
          <w:tcPr/>
          <w:p>
            <w:pPr>
              <w:pStyle w:val="Compact"/>
              <w:jc w:val="left"/>
            </w:pPr>
            <w:r>
              <w:t xml:space="preserve">Subsonic Wind Tunnel</w:t>
            </w:r>
          </w:p>
        </w:tc>
        <w:tc>
          <w:tcPr/>
          <w:p>
            <w:pPr>
              <w:pStyle w:val="Compact"/>
              <w:jc w:val="left"/>
            </w:pPr>
            <w:r>
              <w:t xml:space="preserve">Max Velocity: 250 m/s</w:t>
            </w:r>
          </w:p>
        </w:tc>
        <w:tc>
          <w:tcPr/>
          <w:p>
            <w:pPr>
              <w:pStyle w:val="Compact"/>
              <w:jc w:val="left"/>
            </w:pPr>
            <w:r>
              <w:t xml:space="preserve">Verified (ISO 17025)</w:t>
            </w:r>
          </w:p>
        </w:tc>
      </w:tr>
      <w:tr>
        <w:tc>
          <w:tcPr/>
          <w:p>
            <w:pPr>
              <w:pStyle w:val="Compact"/>
              <w:jc w:val="left"/>
            </w:pPr>
            <w:r>
              <w:t xml:space="preserve">Thermal Vacuum Chamber</w:t>
            </w:r>
          </w:p>
        </w:tc>
        <w:tc>
          <w:tcPr/>
          <w:p>
            <w:pPr>
              <w:pStyle w:val="Compact"/>
              <w:jc w:val="left"/>
            </w:pPr>
            <w:r>
              <w:t xml:space="preserve">Range: -150°C to +150°C</w:t>
            </w:r>
          </w:p>
        </w:tc>
        <w:tc>
          <w:tcPr/>
          <w:p>
            <w:pPr>
              <w:pStyle w:val="Compact"/>
              <w:jc w:val="left"/>
            </w:pPr>
            <w:r>
              <w:t xml:space="preserve">Verified</w:t>
            </w:r>
          </w:p>
        </w:tc>
      </w:tr>
      <w:tr>
        <w:tc>
          <w:tcPr/>
          <w:p>
            <w:pPr>
              <w:pStyle w:val="Compact"/>
              <w:jc w:val="left"/>
            </w:pPr>
            <w:r>
              <w:t xml:space="preserve">Strain Gauges</w:t>
            </w:r>
          </w:p>
        </w:tc>
        <w:tc>
          <w:tcPr/>
          <w:p>
            <w:pPr>
              <w:pStyle w:val="Compact"/>
              <w:jc w:val="left"/>
            </w:pPr>
            <w:r>
              <w:t xml:space="preserve">High-sensitivity foil type</w:t>
            </w:r>
          </w:p>
        </w:tc>
        <w:tc>
          <w:tcPr/>
          <w:p>
            <w:pPr>
              <w:pStyle w:val="Compact"/>
              <w:jc w:val="left"/>
            </w:pPr>
            <w:r>
              <w:t xml:space="preserve">Calibrated</w:t>
            </w:r>
          </w:p>
        </w:tc>
      </w:tr>
      <w:tr>
        <w:tc>
          <w:tcPr/>
          <w:p>
            <w:pPr>
              <w:pStyle w:val="Compact"/>
              <w:jc w:val="left"/>
            </w:pPr>
            <w:r>
              <w:t xml:space="preserve">Data Acquisition System</w:t>
            </w:r>
          </w:p>
        </w:tc>
        <w:tc>
          <w:tcPr/>
          <w:p>
            <w:pPr>
              <w:pStyle w:val="Compact"/>
              <w:jc w:val="left"/>
            </w:pPr>
            <w:r>
              <w:t xml:space="preserve">16-bit resolution, 10kHz sampling</w:t>
            </w:r>
          </w:p>
        </w:tc>
        <w:tc>
          <w:tcPr/>
          <w:p>
            <w:pPr>
              <w:pStyle w:val="Compact"/>
              <w:jc w:val="left"/>
            </w:pPr>
            <w:r>
              <w:t xml:space="preserve">Operational</w:t>
            </w:r>
          </w:p>
        </w:tc>
      </w:tr>
    </w:tbl>
    <w:p>
      <w:pPr>
        <w:pStyle w:val="BodyText"/>
      </w:pPr>
      <w:r>
        <w:t xml:space="preserve">5. Experimental Procedure</w:t>
      </w:r>
    </w:p>
    <w:p>
      <w:pPr>
        <w:pStyle w:val="BodyText"/>
      </w:pPr>
      <w:r>
        <w:t xml:space="preserve">The Aerospace Engineer must adhere to the following step-by-step procedure to ensure data integrity and personnel safety.</w:t>
      </w:r>
    </w:p>
    <w:p>
      <w:pPr>
        <w:numPr>
          <w:ilvl w:val="0"/>
          <w:numId w:val="1001"/>
        </w:numPr>
        <w:pStyle w:val="Compact"/>
      </w:pPr>
      <w:r>
        <w:rPr>
          <w:bCs/>
          <w:b/>
        </w:rPr>
        <w:t xml:space="preserve">Pre-Test Inspection:</w:t>
      </w:r>
      <w:r>
        <w:t xml:space="preserve"> </w:t>
      </w:r>
      <w:r>
        <w:t xml:space="preserve">Conduct a visual and non-destructive evaluation (NDE) of the CFRP test articles. Ensure no micro-cracks or delamination exist prior to mounting.</w:t>
      </w:r>
    </w:p>
    <w:p>
      <w:pPr>
        <w:numPr>
          <w:ilvl w:val="0"/>
          <w:numId w:val="1001"/>
        </w:numPr>
        <w:pStyle w:val="Compact"/>
      </w:pPr>
      <w:r>
        <w:rPr>
          <w:bCs/>
          <w:b/>
        </w:rPr>
        <w:t xml:space="preserve">Mounting and Instrumentation:</w:t>
      </w:r>
      <w:r>
        <w:t xml:space="preserve"> </w:t>
      </w:r>
      <w:r>
        <w:t xml:space="preserve">Secure the test article within the wind tunnel test section. Install strain gauges and thermocouples according to the finite element analysis (FEA) stress concentration maps.</w:t>
      </w:r>
    </w:p>
    <w:p>
      <w:pPr>
        <w:numPr>
          <w:ilvl w:val="0"/>
          <w:numId w:val="1001"/>
        </w:numPr>
        <w:pStyle w:val="Compact"/>
      </w:pPr>
      <w:r>
        <w:rPr>
          <w:bCs/>
          <w:b/>
        </w:rPr>
        <w:t xml:space="preserve">Environmental Simulation:</w:t>
      </w:r>
      <w:r>
        <w:t xml:space="preserve"> </w:t>
      </w:r>
      <w:r>
        <w:t xml:space="preserve">Initiate the thermal vacuum chamber to simulate altitudes up to 20,000 meters. Adjust pressure and temperature to match the standard atmosphere model, adjusted for Tehran's local lapse rate deviations.</w:t>
      </w:r>
    </w:p>
    <w:p>
      <w:pPr>
        <w:numPr>
          <w:ilvl w:val="0"/>
          <w:numId w:val="1001"/>
        </w:numPr>
        <w:pStyle w:val="Compact"/>
      </w:pPr>
      <w:r>
        <w:rPr>
          <w:bCs/>
          <w:b/>
        </w:rPr>
        <w:t xml:space="preserve">Flow Initiation:</w:t>
      </w:r>
      <w:r>
        <w:t xml:space="preserve"> </w:t>
      </w:r>
      <w:r>
        <w:t xml:space="preserve">Gradually increase wind tunnel velocity in increments of 20 m/s. Hold each increment for 5 minutes to allow for thermal equilibrium and data stabilization.</w:t>
      </w:r>
    </w:p>
    <w:p>
      <w:pPr>
        <w:numPr>
          <w:ilvl w:val="0"/>
          <w:numId w:val="1001"/>
        </w:numPr>
        <w:pStyle w:val="Compact"/>
      </w:pPr>
      <w:r>
        <w:rPr>
          <w:bCs/>
          <w:b/>
        </w:rPr>
        <w:t xml:space="preserve">Dynamic Loading:</w:t>
      </w:r>
      <w:r>
        <w:t xml:space="preserve"> </w:t>
      </w:r>
      <w:r>
        <w:t xml:space="preserve">Apply oscillatory loads to simulate turbulence. Monitor for flutter onset and structural resonance.</w:t>
      </w:r>
    </w:p>
    <w:p>
      <w:pPr>
        <w:numPr>
          <w:ilvl w:val="0"/>
          <w:numId w:val="1001"/>
        </w:numPr>
        <w:pStyle w:val="Compact"/>
      </w:pPr>
      <w:r>
        <w:rPr>
          <w:bCs/>
          <w:b/>
        </w:rPr>
        <w:t xml:space="preserve">Termination:</w:t>
      </w:r>
      <w:r>
        <w:t xml:space="preserve"> </w:t>
      </w:r>
      <w:r>
        <w:t xml:space="preserve">If structural failure occurs or if readings exceed safety thresholds defined by the Aerospace Engineer, immediately shut down the flow and depressurize the chamber.</w:t>
      </w:r>
    </w:p>
    <w:p>
      <w:pPr>
        <w:pStyle w:val="FirstParagraph"/>
      </w:pPr>
      <w:r>
        <w:t xml:space="preserve">6. Safety Protocols</w:t>
      </w:r>
    </w:p>
    <w:p>
      <w:pPr>
        <w:pStyle w:val="BodyText"/>
      </w:pPr>
      <w:r>
        <w:t xml:space="preserve">Safety is paramount in aerospace experimentation. All personnel must wear appropriate personal protective equipment (PPE), including safety glasses, hearing protection, and steel-toed boots. In the event of a vacuum breach or high-pressure failure, emergency evacuation routes from the Tehran facility must be followed immediately. The Aerospace Engineer is responsible for conducting a daily safety briefing and ensuring that all emergency shut-off valves are functional.</w:t>
      </w:r>
    </w:p>
    <w:p>
      <w:pPr>
        <w:pStyle w:val="BodyText"/>
      </w:pPr>
      <w:r>
        <w:t xml:space="preserve">7. Data Analysis and Reporting</w:t>
      </w:r>
    </w:p>
    <w:p>
      <w:pPr>
        <w:pStyle w:val="BodyText"/>
      </w:pPr>
      <w:r>
        <w:t xml:space="preserve">Upon completion of the experiment, the Aerospace Engineer will compile the raw data into a comprehensive report. This report must include stress-strain curves, thermal expansion coefficients, and failure mode analysis. The data will be compared against theoretical models to validate the design assumptions. All findings will be documented in English to facilitate international collaboration and adherence to global aerospace standards.</w:t>
      </w:r>
    </w:p>
    <w:p>
      <w:pPr>
        <w:pStyle w:val="BodyText"/>
      </w:pPr>
      <w:r>
        <w:t xml:space="preserve">8. Approval and Signatures</w:t>
      </w:r>
    </w:p>
    <w:p>
      <w:pPr>
        <w:pStyle w:val="BodyText"/>
      </w:pPr>
      <w:r>
        <w:t xml:space="preserve">By signing below, the undersigned acknowledge that they have read, understood, and agree to adhere to this Experiment Protocol.</w:t>
      </w:r>
    </w:p>
    <w:p>
      <w:pPr>
        <w:pStyle w:val="BodyText"/>
      </w:pPr>
      <w:r>
        <w:t xml:space="preserve">Lead Aerospace Engineer</w:t>
      </w:r>
    </w:p>
    <w:p>
      <w:pPr>
        <w:pStyle w:val="BodyText"/>
      </w:pPr>
      <w:r>
        <w:t xml:space="preserve">Date: _______________</w:t>
      </w:r>
    </w:p>
    <w:p>
      <w:pPr>
        <w:pStyle w:val="BodyText"/>
      </w:pPr>
      <w:r>
        <w:t xml:space="preserve">Facility Director, Tehran</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Tehran, Iran</dc:title>
  <dc:creator/>
  <dc:language>en</dc:language>
  <cp:keywords/>
  <dcterms:created xsi:type="dcterms:W3CDTF">2026-10-10T01:01:22Z</dcterms:created>
  <dcterms:modified xsi:type="dcterms:W3CDTF">2026-10-10T01:01:22Z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