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Composite</w:t>
      </w:r>
      <w:r>
        <w:t xml:space="preserve"> </w:t>
      </w:r>
      <w:r>
        <w:t xml:space="preserve">Fatigue</w:t>
      </w:r>
      <w:r>
        <w:t xml:space="preserve"> </w:t>
      </w:r>
      <w:r>
        <w:t xml:space="preserve">Testing</w:t>
      </w:r>
    </w:p>
    <w:bookmarkStart w:id="20" w:name="X3d6b9de21a6544df203b2863910780cf8c16fe9"/>
    <w:p>
      <w:pPr>
        <w:pStyle w:val="Heading1"/>
      </w:pPr>
      <w:r>
        <w:t xml:space="preserve">Experiment Protocol: High-Cycle Fatigue Analysis of Carbon Fiber Reinforced Polymers</w:t>
      </w:r>
    </w:p>
    <w:p>
      <w:pPr>
        <w:pStyle w:val="FirstParagraph"/>
      </w:pPr>
      <w:r>
        <w:rPr>
          <w:bCs/>
          <w:b/>
        </w:rPr>
        <w:t xml:space="preserve">Protocol ID:</w:t>
      </w:r>
      <w:r>
        <w:t xml:space="preserve"> </w:t>
      </w:r>
      <w:r>
        <w:t xml:space="preserve">MIL-AERO-2023-042</w:t>
      </w:r>
    </w:p>
    <w:p>
      <w:pPr>
        <w:pStyle w:val="BodyText"/>
      </w:pPr>
      <w:r>
        <w:rPr>
          <w:bCs/>
          <w:b/>
        </w:rPr>
        <w:t xml:space="preserve">Version:</w:t>
      </w:r>
      <w:r>
        <w:t xml:space="preserve"> </w:t>
      </w:r>
      <w:r>
        <w:t xml:space="preserve">2.1 (Final)</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Leonardo S.p.A. Research Center, Milan, Italy</w:t>
      </w:r>
    </w:p>
    <w:p>
      <w:pPr>
        <w:pStyle w:val="BodyText"/>
      </w:pPr>
      <w:r>
        <w:rPr>
          <w:bCs/>
          <w:b/>
        </w:rPr>
        <w:t xml:space="preserve">Lead Aerospace Engineer:</w:t>
      </w:r>
      <w:r>
        <w:t xml:space="preserve"> </w:t>
      </w:r>
      <w:r>
        <w:t xml:space="preserve">Dr. Alessandro Rossi</w:t>
      </w:r>
    </w:p>
    <w:p>
      <w:pPr>
        <w:pStyle w:val="BodyText"/>
      </w:pPr>
      <w:r>
        <w:rPr>
          <w:bCs/>
          <w:b/>
        </w:rPr>
        <w:t xml:space="preserve">Compliance:</w:t>
      </w:r>
      <w:r>
        <w:t xml:space="preserve"> </w:t>
      </w:r>
      <w:r>
        <w:t xml:space="preserve">EN 9100 / ISO 17025</w:t>
      </w:r>
    </w:p>
    <w:bookmarkEnd w:id="20"/>
    <w:bookmarkStart w:id="21" w:name="objective-and-scope"/>
    <w:p>
      <w:pPr>
        <w:pStyle w:val="Heading2"/>
      </w:pPr>
      <w:r>
        <w:t xml:space="preserve">1. Objective and Scope</w:t>
      </w:r>
    </w:p>
    <w:p>
      <w:pPr>
        <w:pStyle w:val="FirstParagraph"/>
      </w:pPr>
      <w:r>
        <w:t xml:space="preserve">This Experiment Protocol defines the rigorous methodology for conducting high-cycle fatigue testing on next-generation Carbon Fiber Reinforced Polymer (CFRP) laminates intended for the wing spar of a new regional aircraft. The primary objective is to validate the structural integrity and lifespan of these materials under simulated operational loads.</w:t>
      </w:r>
    </w:p>
    <w:p>
      <w:pPr>
        <w:pStyle w:val="BodyText"/>
      </w:pPr>
      <w:r>
        <w:t xml:space="preserve">As an</w:t>
      </w:r>
      <w:r>
        <w:t xml:space="preserve"> </w:t>
      </w:r>
      <w:r>
        <w:rPr>
          <w:bCs/>
          <w:b/>
        </w:rPr>
        <w:t xml:space="preserve">Aerospace Engineer</w:t>
      </w:r>
      <w:r>
        <w:t xml:space="preserve"> </w:t>
      </w:r>
      <w:r>
        <w:t xml:space="preserve">operating within the stringent regulatory environment of the European Union Aviation Safety Agency (EASA), the execution of this protocol is critical. The testing will take place at our advanced materials laboratory in</w:t>
      </w:r>
      <w:r>
        <w:t xml:space="preserve"> </w:t>
      </w:r>
      <w:r>
        <w:rPr>
          <w:bCs/>
          <w:b/>
        </w:rPr>
        <w:t xml:space="preserve">Italy Milan</w:t>
      </w:r>
      <w:r>
        <w:t xml:space="preserve">, leveraging the city's status as a premier hub for European aerospace innovation. This document ensures that all experimental procedures align with international safety standards and local Italian industrial regulations.</w:t>
      </w:r>
    </w:p>
    <w:bookmarkEnd w:id="21"/>
    <w:bookmarkStart w:id="22" w:name="safety-and-environmental-compliance"/>
    <w:p>
      <w:pPr>
        <w:pStyle w:val="Heading2"/>
      </w:pPr>
      <w:r>
        <w:t xml:space="preserve">2. Safety and Environmental Compliance</w:t>
      </w:r>
    </w:p>
    <w:p>
      <w:pPr>
        <w:pStyle w:val="FirstParagraph"/>
      </w:pPr>
      <w:r>
        <w:t xml:space="preserve">Safety is paramount in aerospace engineering. All personnel involved in this experiment must adhere to the safety protocols established by the facility in Milan. Specific attention must be paid to the handling of composite materials and the operation of high-load hydraulic testing machines.</w:t>
      </w:r>
    </w:p>
    <w:p>
      <w:pPr>
        <w:pStyle w:val="BodyText"/>
      </w:pPr>
      <w:r>
        <w:rPr>
          <w:bCs/>
          <w:b/>
        </w:rPr>
        <w:t xml:space="preserve">WARNING:</w:t>
      </w:r>
      <w:r>
        <w:t xml:space="preserve"> </w:t>
      </w:r>
      <w:r>
        <w:t xml:space="preserve">High-pressure hydraulic systems are in use. Only certified personnel are permitted within the testing zone. Personal Protective Equipment (PPE), including safety glasses, steel-toed boots, and hearing protection, is mandatory at all times.</w:t>
      </w:r>
    </w:p>
    <w:p>
      <w:pPr>
        <w:pStyle w:val="BodyText"/>
      </w:pPr>
      <w:r>
        <w:t xml:space="preserve">Furthermore, waste disposal of composite debris must comply with Italian environmental laws (D.Lgs. 152/2006). All carbon fiber dust must be collected using HEPA-filtered vacuum systems to prevent inhalation hazards and environmental contamination.</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the successful execution of this protocol. All instruments must be calibrated according to ISO 17025 standards prior to the commencement of testing.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Hydraulic Servo-Hydraulic Test Frame</w:t>
            </w:r>
          </w:p>
        </w:tc>
        <w:tc>
          <w:tcPr/>
          <w:p>
            <w:pPr>
              <w:pStyle w:val="Compact"/>
              <w:jc w:val="left"/>
            </w:pPr>
            <w:r>
              <w:t xml:space="preserve">Capacity: 250 kN, Frequency: 0.1-100 Hz</w:t>
            </w:r>
          </w:p>
        </w:tc>
        <w:tc>
          <w:tcPr/>
          <w:p>
            <w:pPr>
              <w:pStyle w:val="Compact"/>
              <w:jc w:val="left"/>
            </w:pPr>
            <w:r>
              <w:t xml:space="preserve">1</w:t>
            </w:r>
          </w:p>
        </w:tc>
      </w:tr>
      <w:tr>
        <w:tc>
          <w:tcPr/>
          <w:p>
            <w:pPr>
              <w:pStyle w:val="Compact"/>
              <w:jc w:val="left"/>
            </w:pPr>
            <w:r>
              <w:t xml:space="preserve">CFRP Test Specimens</w:t>
            </w:r>
          </w:p>
        </w:tc>
        <w:tc>
          <w:tcPr/>
          <w:p>
            <w:pPr>
              <w:pStyle w:val="Compact"/>
              <w:jc w:val="left"/>
            </w:pPr>
            <w:r>
              <w:t xml:space="preserve">Quasi-isotropic layup [0/90/+45/-45]s, T300/914</w:t>
            </w:r>
          </w:p>
        </w:tc>
        <w:tc>
          <w:tcPr/>
          <w:p>
            <w:pPr>
              <w:pStyle w:val="Compact"/>
              <w:jc w:val="left"/>
            </w:pPr>
            <w:r>
              <w:t xml:space="preserve">15</w:t>
            </w:r>
          </w:p>
        </w:tc>
      </w:tr>
      <w:tr>
        <w:tc>
          <w:tcPr/>
          <w:p>
            <w:pPr>
              <w:pStyle w:val="Compact"/>
              <w:jc w:val="left"/>
            </w:pPr>
            <w:r>
              <w:t xml:space="preserve">Strain Gauges</w:t>
            </w:r>
          </w:p>
        </w:tc>
        <w:tc>
          <w:tcPr/>
          <w:p>
            <w:pPr>
              <w:pStyle w:val="Compact"/>
              <w:jc w:val="left"/>
            </w:pPr>
            <w:r>
              <w:t xml:space="preserve">Ro-Ro-120, 120 Ohm, Temperature compensated</w:t>
            </w:r>
          </w:p>
        </w:tc>
        <w:tc>
          <w:tcPr/>
          <w:p>
            <w:pPr>
              <w:pStyle w:val="Compact"/>
              <w:jc w:val="left"/>
            </w:pPr>
            <w:r>
              <w:t xml:space="preserve">30</w:t>
            </w:r>
          </w:p>
        </w:tc>
      </w:tr>
      <w:tr>
        <w:tc>
          <w:tcPr/>
          <w:p>
            <w:pPr>
              <w:pStyle w:val="Compact"/>
              <w:jc w:val="left"/>
            </w:pPr>
            <w:r>
              <w:t xml:space="preserve">Data Acquisition System</w:t>
            </w:r>
          </w:p>
        </w:tc>
        <w:tc>
          <w:tcPr/>
          <w:p>
            <w:pPr>
              <w:pStyle w:val="Compact"/>
              <w:jc w:val="left"/>
            </w:pPr>
            <w:r>
              <w:t xml:space="preserve">16-bit resolution, sampling rate &gt; 10 kHz</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Range: -55°C to +80°C, Humidity control</w:t>
            </w:r>
          </w:p>
        </w:tc>
        <w:tc>
          <w:tcPr/>
          <w:p>
            <w:pPr>
              <w:pStyle w:val="Compact"/>
              <w:jc w:val="left"/>
            </w:pPr>
            <w:r>
              <w:t xml:space="preserve">1</w:t>
            </w:r>
          </w:p>
        </w:tc>
      </w:tr>
    </w:tbl>
    <w:bookmarkEnd w:id="23"/>
    <w:bookmarkStart w:id="28" w:name="experimental-procedure"/>
    <w:p>
      <w:pPr>
        <w:pStyle w:val="Heading2"/>
      </w:pPr>
      <w:r>
        <w:t xml:space="preserve">4. Experimental Procedure</w:t>
      </w:r>
    </w:p>
    <w:p>
      <w:pPr>
        <w:pStyle w:val="FirstParagraph"/>
      </w:pPr>
      <w:r>
        <w:t xml:space="preserve">The</w:t>
      </w:r>
      <w:r>
        <w:t xml:space="preserve"> </w:t>
      </w:r>
      <w:r>
        <w:rPr>
          <w:bCs/>
          <w:b/>
        </w:rPr>
        <w:t xml:space="preserve">Aerospace Engineer</w:t>
      </w:r>
      <w:r>
        <w:t xml:space="preserve"> </w:t>
      </w:r>
      <w:r>
        <w:t xml:space="preserve">leading the test must follow these steps precisely to ensure data integrity and reproducibility.</w:t>
      </w:r>
    </w:p>
    <w:bookmarkStart w:id="24" w:name="specimen-preparation"/>
    <w:p>
      <w:pPr>
        <w:pStyle w:val="Heading3"/>
      </w:pPr>
      <w:r>
        <w:t xml:space="preserve">4.1 Specimen Preparation</w:t>
      </w:r>
    </w:p>
    <w:p>
      <w:pPr>
        <w:numPr>
          <w:ilvl w:val="0"/>
          <w:numId w:val="1001"/>
        </w:numPr>
        <w:pStyle w:val="Compact"/>
      </w:pPr>
      <w:r>
        <w:t xml:space="preserve">Inspect all CFRP specimens for visual defects, delamination, or surface irregularities using ultrasonic C-scan imaging.</w:t>
      </w:r>
    </w:p>
    <w:p>
      <w:pPr>
        <w:numPr>
          <w:ilvl w:val="0"/>
          <w:numId w:val="1001"/>
        </w:numPr>
        <w:pStyle w:val="Compact"/>
      </w:pPr>
      <w:r>
        <w:t xml:space="preserve">Clean the surface of each specimen with isopropyl alcohol to remove contaminants.</w:t>
      </w:r>
    </w:p>
    <w:p>
      <w:pPr>
        <w:numPr>
          <w:ilvl w:val="0"/>
          <w:numId w:val="1001"/>
        </w:numPr>
        <w:pStyle w:val="Compact"/>
      </w:pPr>
      <w:r>
        <w:t xml:space="preserve">Apply strain gauges to the gauge section of each specimen using cyanoacrylate adhesive, ensuring proper alignment with the fiber orientation.</w:t>
      </w:r>
    </w:p>
    <w:p>
      <w:pPr>
        <w:numPr>
          <w:ilvl w:val="0"/>
          <w:numId w:val="1001"/>
        </w:numPr>
        <w:pStyle w:val="Compact"/>
      </w:pPr>
      <w:r>
        <w:t xml:space="preserve">Allow the adhesive to cure for a minimum of 24 hours at room temperature.</w:t>
      </w:r>
    </w:p>
    <w:bookmarkEnd w:id="24"/>
    <w:bookmarkStart w:id="25" w:name="mounting-and-alignment"/>
    <w:p>
      <w:pPr>
        <w:pStyle w:val="Heading3"/>
      </w:pPr>
      <w:r>
        <w:t xml:space="preserve">4.2 Mounting and Alignment</w:t>
      </w:r>
    </w:p>
    <w:p>
      <w:pPr>
        <w:numPr>
          <w:ilvl w:val="0"/>
          <w:numId w:val="1002"/>
        </w:numPr>
        <w:pStyle w:val="Compact"/>
      </w:pPr>
      <w:r>
        <w:t xml:space="preserve">Mount the specimen in the hydraulic test frame using pneumatic grips to prevent slippage.</w:t>
      </w:r>
    </w:p>
    <w:p>
      <w:pPr>
        <w:numPr>
          <w:ilvl w:val="0"/>
          <w:numId w:val="1002"/>
        </w:numPr>
        <w:pStyle w:val="Compact"/>
      </w:pPr>
      <w:r>
        <w:t xml:space="preserve">Perform a static alignment check to ensure the load is applied axially, minimizing bending moments.</w:t>
      </w:r>
    </w:p>
    <w:p>
      <w:pPr>
        <w:numPr>
          <w:ilvl w:val="0"/>
          <w:numId w:val="1002"/>
        </w:numPr>
        <w:pStyle w:val="Compact"/>
      </w:pPr>
      <w:r>
        <w:t xml:space="preserve">Connect the strain gauges to the data acquisition system and verify signal integrity.</w:t>
      </w:r>
    </w:p>
    <w:bookmarkEnd w:id="25"/>
    <w:bookmarkStart w:id="26" w:name="fatigue-loading"/>
    <w:p>
      <w:pPr>
        <w:pStyle w:val="Heading3"/>
      </w:pPr>
      <w:r>
        <w:t xml:space="preserve">4.3 Fatigue Loading</w:t>
      </w:r>
    </w:p>
    <w:p>
      <w:pPr>
        <w:numPr>
          <w:ilvl w:val="0"/>
          <w:numId w:val="1003"/>
        </w:numPr>
        <w:pStyle w:val="Compact"/>
      </w:pPr>
      <w:r>
        <w:t xml:space="preserve">Apply a sinusoidal load with a stress ratio (R) of 0.1.</w:t>
      </w:r>
    </w:p>
    <w:p>
      <w:pPr>
        <w:numPr>
          <w:ilvl w:val="0"/>
          <w:numId w:val="1003"/>
        </w:numPr>
        <w:pStyle w:val="Compact"/>
      </w:pPr>
      <w:r>
        <w:t xml:space="preserve">Set the maximum stress level to 60% of the ultimate tensile strength of the material.</w:t>
      </w:r>
    </w:p>
    <w:p>
      <w:pPr>
        <w:numPr>
          <w:ilvl w:val="0"/>
          <w:numId w:val="1003"/>
        </w:numPr>
        <w:pStyle w:val="Compact"/>
      </w:pPr>
      <w:r>
        <w:t xml:space="preserve">Initiate the cyclic loading at a frequency of 10 Hz.</w:t>
      </w:r>
    </w:p>
    <w:p>
      <w:pPr>
        <w:numPr>
          <w:ilvl w:val="0"/>
          <w:numId w:val="1003"/>
        </w:numPr>
        <w:pStyle w:val="Compact"/>
      </w:pPr>
      <w:r>
        <w:t xml:space="preserve">Monitor the specimen continuously for signs of failure, including audible cracking, sudden load drops, or strain gauge anomalies.</w:t>
      </w:r>
    </w:p>
    <w:bookmarkEnd w:id="26"/>
    <w:bookmarkStart w:id="27" w:name="environmental-conditioning"/>
    <w:p>
      <w:pPr>
        <w:pStyle w:val="Heading3"/>
      </w:pPr>
      <w:r>
        <w:t xml:space="preserve">4.4 Environmental Conditioning</w:t>
      </w:r>
    </w:p>
    <w:p>
      <w:pPr>
        <w:numPr>
          <w:ilvl w:val="0"/>
          <w:numId w:val="1004"/>
        </w:numPr>
        <w:pStyle w:val="Compact"/>
      </w:pPr>
      <w:r>
        <w:t xml:space="preserve">For the second phase of the experiment, place the test frame inside the environmental chamber.</w:t>
      </w:r>
    </w:p>
    <w:p>
      <w:pPr>
        <w:numPr>
          <w:ilvl w:val="0"/>
          <w:numId w:val="1004"/>
        </w:numPr>
        <w:pStyle w:val="Compact"/>
      </w:pPr>
      <w:r>
        <w:t xml:space="preserve">Condition the specimens at -40°C and 80% relative humidity to simulate high-altitude flight conditions.</w:t>
      </w:r>
    </w:p>
    <w:p>
      <w:pPr>
        <w:numPr>
          <w:ilvl w:val="0"/>
          <w:numId w:val="1004"/>
        </w:numPr>
        <w:pStyle w:val="Compact"/>
      </w:pPr>
      <w:r>
        <w:t xml:space="preserve">Repeat the fatigue loading procedure under these environmental conditions.</w:t>
      </w:r>
    </w:p>
    <w:bookmarkEnd w:id="27"/>
    <w:bookmarkEnd w:id="28"/>
    <w:bookmarkStart w:id="29" w:name="data-analysis-and-reporting"/>
    <w:p>
      <w:pPr>
        <w:pStyle w:val="Heading2"/>
      </w:pPr>
      <w:r>
        <w:t xml:space="preserve">5. Data Analysis and Reporting</w:t>
      </w:r>
    </w:p>
    <w:p>
      <w:pPr>
        <w:pStyle w:val="FirstParagraph"/>
      </w:pPr>
      <w:r>
        <w:t xml:space="preserve">Upon completion of the fatigue tests, the</w:t>
      </w:r>
      <w:r>
        <w:t xml:space="preserve"> </w:t>
      </w:r>
      <w:r>
        <w:rPr>
          <w:bCs/>
          <w:b/>
        </w:rPr>
        <w:t xml:space="preserve">Aerospace Engineer</w:t>
      </w:r>
      <w:r>
        <w:t xml:space="preserve"> </w:t>
      </w:r>
      <w:r>
        <w:t xml:space="preserve">must analyze the collected data to determine the S-N curve (Stress vs. Number of cycles to failure). The analysis should include:</w:t>
      </w:r>
    </w:p>
    <w:p>
      <w:pPr>
        <w:numPr>
          <w:ilvl w:val="0"/>
          <w:numId w:val="1005"/>
        </w:numPr>
        <w:pStyle w:val="Compact"/>
      </w:pPr>
      <w:r>
        <w:t xml:space="preserve">Calculation of the mean and standard deviation of the fatigue life for each stress level.</w:t>
      </w:r>
    </w:p>
    <w:p>
      <w:pPr>
        <w:numPr>
          <w:ilvl w:val="0"/>
          <w:numId w:val="1005"/>
        </w:numPr>
        <w:pStyle w:val="Compact"/>
      </w:pPr>
      <w:r>
        <w:t xml:space="preserve">Identification of failure modes through microscopic examination of the fracture surfaces.</w:t>
      </w:r>
    </w:p>
    <w:p>
      <w:pPr>
        <w:numPr>
          <w:ilvl w:val="0"/>
          <w:numId w:val="1005"/>
        </w:numPr>
        <w:pStyle w:val="Compact"/>
      </w:pPr>
      <w:r>
        <w:t xml:space="preserve">Comparison of results with predictive models and historical data from similar materials.</w:t>
      </w:r>
    </w:p>
    <w:p>
      <w:pPr>
        <w:pStyle w:val="FirstParagraph"/>
      </w:pPr>
      <w:r>
        <w:t xml:space="preserve">A comprehensive report must be generated, detailing the experimental setup, procedures, results, and conclusions. This report will be submitted to the certification authorities in Milan and relevant stakeholders in the aerospace industry.</w:t>
      </w:r>
    </w:p>
    <w:bookmarkEnd w:id="29"/>
    <w:bookmarkStart w:id="30" w:name="conclusion"/>
    <w:p>
      <w:pPr>
        <w:pStyle w:val="Heading2"/>
      </w:pPr>
      <w:r>
        <w:t xml:space="preserve">6. Conclusion</w:t>
      </w:r>
    </w:p>
    <w:p>
      <w:pPr>
        <w:pStyle w:val="FirstParagraph"/>
      </w:pPr>
      <w:r>
        <w:t xml:space="preserve">This Experiment Protocol provides a structured approach to evaluating the fatigue performance of advanced composite materials. By adhering to these guidelines, the</w:t>
      </w:r>
      <w:r>
        <w:t xml:space="preserve"> </w:t>
      </w:r>
      <w:r>
        <w:rPr>
          <w:bCs/>
          <w:b/>
        </w:rPr>
        <w:t xml:space="preserve">Aerospace Engineer</w:t>
      </w:r>
      <w:r>
        <w:t xml:space="preserve"> </w:t>
      </w:r>
      <w:r>
        <w:t xml:space="preserve">ensures that the testing process is safe, accurate, and compliant with international standards. The successful execution of this protocol in</w:t>
      </w:r>
      <w:r>
        <w:t xml:space="preserve"> </w:t>
      </w:r>
      <w:r>
        <w:rPr>
          <w:bCs/>
          <w:b/>
        </w:rPr>
        <w:t xml:space="preserve">Italy Milan</w:t>
      </w:r>
      <w:r>
        <w:t xml:space="preserve"> </w:t>
      </w:r>
      <w:r>
        <w:t xml:space="preserve">will contribute significantly to the development of safer and more efficient aircraft structures.</w:t>
      </w:r>
    </w:p>
    <w:bookmarkEnd w:id="30"/>
    <w:p>
      <w:pPr>
        <w:pStyle w:val="BodyText"/>
      </w:pPr>
      <w:r>
        <w:rPr>
          <w:bCs/>
          <w:b/>
        </w:rPr>
        <w:t xml:space="preserve">Lead Aerospace Engineer:</w:t>
      </w:r>
    </w:p>
    <w:p>
      <w:pPr>
        <w:pStyle w:val="BodyText"/>
      </w:pPr>
      <w:r>
        <w:t xml:space="preserve">Dr. Alessandro Rossi</w:t>
      </w:r>
    </w:p>
    <w:p>
      <w:pPr>
        <w:pStyle w:val="BodyText"/>
      </w:pPr>
      <w:r>
        <w:t xml:space="preserve">Signature: _________________________</w:t>
      </w:r>
    </w:p>
    <w:p>
      <w:pPr>
        <w:pStyle w:val="BodyText"/>
      </w:pPr>
      <w:r>
        <w:t xml:space="preserve">Date: _________________________</w:t>
      </w:r>
    </w:p>
    <w:p>
      <w:pPr>
        <w:pStyle w:val="BodyText"/>
      </w:pPr>
      <w:r>
        <w:rPr>
          <w:bCs/>
          <w:b/>
        </w:rPr>
        <w:t xml:space="preserve">Quality Assurance Manager:</w:t>
      </w:r>
    </w:p>
    <w:p>
      <w:pPr>
        <w:pStyle w:val="BodyText"/>
      </w:pPr>
      <w:r>
        <w:t xml:space="preserve">Maria Bianchi</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Composite Fatigue Testing</dc:title>
  <dc:creator/>
  <dc:language>en</dc:language>
  <cp:keywords/>
  <dcterms:created xsi:type="dcterms:W3CDTF">2026-10-10T04:31:56Z</dcterms:created>
  <dcterms:modified xsi:type="dcterms:W3CDTF">2026-10-10T04:31:56Z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