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Aerospace</w:t>
      </w:r>
      <w:r>
        <w:t xml:space="preserve"> </w:t>
      </w:r>
      <w:r>
        <w:t xml:space="preserve">Engineering</w:t>
      </w:r>
      <w:r>
        <w:t xml:space="preserve"> </w:t>
      </w:r>
      <w:r>
        <w:t xml:space="preserve">Research</w:t>
      </w:r>
      <w:r>
        <w:t xml:space="preserve"> </w:t>
      </w:r>
      <w:r>
        <w:t xml:space="preserve">in</w:t>
      </w:r>
      <w:r>
        <w:t xml:space="preserve"> </w:t>
      </w:r>
      <w:r>
        <w:t xml:space="preserve">Kyoto,</w:t>
      </w:r>
      <w:r>
        <w:t xml:space="preserve"> </w:t>
      </w:r>
      <w:r>
        <w:t xml:space="preserve">Japan</w:t>
      </w:r>
    </w:p>
    <w:p>
      <w:pPr>
        <w:pStyle w:val="FirstParagraph"/>
      </w:pPr>
      <w:r>
        <w:rPr>
          <w:bCs/>
          <w:b/>
        </w:rPr>
        <w:t xml:space="preserve">Document ID:</w:t>
      </w:r>
      <w:r>
        <w:t xml:space="preserve"> </w:t>
      </w:r>
      <w:r>
        <w:t xml:space="preserve">AE-KYO-2023-004</w:t>
      </w:r>
      <w:r>
        <w:br/>
      </w:r>
      <w:r>
        <w:rPr>
          <w:bCs/>
          <w:b/>
        </w:rPr>
        <w:t xml:space="preserve">Version:</w:t>
      </w:r>
      <w:r>
        <w:t xml:space="preserve"> </w:t>
      </w:r>
      <w:r>
        <w:t xml:space="preserve">1.2</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Kyoto, Japan</w:t>
      </w:r>
      <w:r>
        <w:br/>
      </w:r>
      <w:r>
        <w:rPr>
          <w:bCs/>
          <w:b/>
        </w:rPr>
        <w:t xml:space="preserve">Department:</w:t>
      </w:r>
      <w:r>
        <w:t xml:space="preserve"> </w:t>
      </w:r>
      <w:r>
        <w:t xml:space="preserve">Advanced Aerospace Materials</w:t>
      </w:r>
      <w:r>
        <w:br/>
      </w:r>
      <w:r>
        <w:rPr>
          <w:bCs/>
          <w:b/>
        </w:rPr>
        <w:t xml:space="preserve">Classification:</w:t>
      </w:r>
      <w:r>
        <w:t xml:space="preserve"> </w:t>
      </w:r>
      <w:r>
        <w:t xml:space="preserve">Internal Use Only</w:t>
      </w:r>
    </w:p>
    <w:bookmarkStart w:id="31" w:name="Xe304f7d074a3834a4b87e5610407bda0c92670e"/>
    <w:p>
      <w:pPr>
        <w:pStyle w:val="Heading1"/>
      </w:pPr>
      <w:r>
        <w:t xml:space="preserve">Experiment Protocol: High-Altitude Aerodynamic Testing of Composite Structures</w:t>
      </w:r>
    </w:p>
    <w:p>
      <w:pPr>
        <w:pStyle w:val="FirstParagraph"/>
      </w:pPr>
      <w:r>
        <w:rPr>
          <w:bCs/>
          <w:b/>
        </w:rPr>
        <w:t xml:space="preserve">Principal Investigator:</w:t>
      </w:r>
      <w:r>
        <w:t xml:space="preserve"> </w:t>
      </w:r>
      <w:r>
        <w:t xml:space="preserve">Lead Aerospace Engineer</w:t>
      </w:r>
      <w:r>
        <w:br/>
      </w:r>
      <w:r>
        <w:rPr>
          <w:bCs/>
          <w:b/>
        </w:rPr>
        <w:t xml:space="preserve">Facility:</w:t>
      </w:r>
      <w:r>
        <w:t xml:space="preserve"> </w:t>
      </w:r>
      <w:r>
        <w:t xml:space="preserve">Kyoto University Institute for Space and Astronautical Science (KUISAS) Simulation Wing</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the testing of next-generation carbon-fiber reinforced polymer (CFRP) wing components. As an Aerospace Engineer operating within the prestigious research environment of Kyoto, Japan, the primary objective is to evaluate the structural integrity and aerodynamic efficiency of these components under simulated high-altitude conditions. Kyoto, renowned for its precision engineering and academic excellence, provides the ideal backdrop for this research, leveraging local expertise in materials science to advance global aerospace standards.</w:t>
      </w:r>
    </w:p>
    <w:p>
      <w:pPr>
        <w:pStyle w:val="BodyText"/>
      </w:pPr>
      <w:r>
        <w:t xml:space="preserve">The specific goal of this experiment is to determine the fatigue life of the composite material when subjected to cyclic loading at temperatures ranging from -50°C to 20°C, mimicking the conditions encountered during transonic flight. This protocol ensures that all testing adheres to international safety standards and the specific regulatory requirements of the Japanese Ministry of Education, Culture, Sports, Science and Technology (MEXT).</w:t>
      </w:r>
    </w:p>
    <w:bookmarkEnd w:id="20"/>
    <w:bookmarkStart w:id="21" w:name="scope-and-applicability"/>
    <w:p>
      <w:pPr>
        <w:pStyle w:val="Heading2"/>
      </w:pPr>
      <w:r>
        <w:t xml:space="preserve">2. Scope and Applicability</w:t>
      </w:r>
    </w:p>
    <w:p>
      <w:pPr>
        <w:pStyle w:val="FirstParagraph"/>
      </w:pPr>
      <w:r>
        <w:t xml:space="preserve">This protocol applies to all personnel involved in the experimental phase, including senior Aerospace Engineers, research assistants, and technical support staff stationed at the Kyoto facility. It covers the preparation of test specimens, the calibration of the environmental wind tunnel, data acquisition procedures, and post-experiment analysis. The scope is strictly limited to the indoor simulation wing; any outdoor testing requires a separate protocol due to Kyoto’s specific urban zoning and noise regulations.</w:t>
      </w:r>
    </w:p>
    <w:bookmarkEnd w:id="21"/>
    <w:bookmarkStart w:id="22" w:name="safety-and-environmental-compliance"/>
    <w:p>
      <w:pPr>
        <w:pStyle w:val="Heading2"/>
      </w:pPr>
      <w:r>
        <w:t xml:space="preserve">3. Safety and Environmental Compliance</w:t>
      </w:r>
    </w:p>
    <w:p>
      <w:pPr>
        <w:pStyle w:val="FirstParagraph"/>
      </w:pPr>
      <w:r>
        <w:t xml:space="preserve">Safety is paramount in aerospace engineering. Given the high-energy nature of wind tunnel testing and the use of cryogenic cooling systems, strict adherence to safety protocols is mandatory.</w:t>
      </w:r>
    </w:p>
    <w:p>
      <w:pPr>
        <w:numPr>
          <w:ilvl w:val="0"/>
          <w:numId w:val="1001"/>
        </w:numPr>
        <w:pStyle w:val="Compact"/>
      </w:pPr>
      <w:r>
        <w:rPr>
          <w:bCs/>
          <w:b/>
        </w:rPr>
        <w:t xml:space="preserve">Personal Protective Equipment (PPE):</w:t>
      </w:r>
      <w:r>
        <w:t xml:space="preserve"> </w:t>
      </w:r>
      <w:r>
        <w:t xml:space="preserve">All engineers must wear ANSI-approved safety goggles, hearing protection, and steel-toed boots at all times within the testing bay.</w:t>
      </w:r>
    </w:p>
    <w:p>
      <w:pPr>
        <w:numPr>
          <w:ilvl w:val="0"/>
          <w:numId w:val="1001"/>
        </w:numPr>
        <w:pStyle w:val="Compact"/>
      </w:pPr>
      <w:r>
        <w:rPr>
          <w:bCs/>
          <w:b/>
        </w:rPr>
        <w:t xml:space="preserve">Cryogenic Safety:</w:t>
      </w:r>
      <w:r>
        <w:t xml:space="preserve"> </w:t>
      </w:r>
      <w:r>
        <w:t xml:space="preserve">Personnel handling liquid nitrogen for temperature simulation must be trained in cryogenic safety to prevent frostbite and asphyxiation risks.</w:t>
      </w:r>
    </w:p>
    <w:p>
      <w:pPr>
        <w:numPr>
          <w:ilvl w:val="0"/>
          <w:numId w:val="1001"/>
        </w:numPr>
        <w:pStyle w:val="Compact"/>
      </w:pPr>
      <w:r>
        <w:rPr>
          <w:bCs/>
          <w:b/>
        </w:rPr>
        <w:t xml:space="preserve">Electrical Safety:</w:t>
      </w:r>
      <w:r>
        <w:t xml:space="preserve"> </w:t>
      </w:r>
      <w:r>
        <w:t xml:space="preserve">All high-voltage equipment powering the wind tunnel fans must be inspected daily. Lockout/Tagout (LOTO) procedures must be followed during maintenance.</w:t>
      </w:r>
    </w:p>
    <w:p>
      <w:pPr>
        <w:numPr>
          <w:ilvl w:val="0"/>
          <w:numId w:val="1001"/>
        </w:numPr>
        <w:pStyle w:val="Compact"/>
      </w:pPr>
      <w:r>
        <w:rPr>
          <w:bCs/>
          <w:b/>
        </w:rPr>
        <w:t xml:space="preserve">Local Regulations:</w:t>
      </w:r>
      <w:r>
        <w:t xml:space="preserve"> </w:t>
      </w:r>
      <w:r>
        <w:t xml:space="preserve">In compliance with Kyoto City ordinances, all hazardous materials must be stored in designated, ventilated areas. Waste disposal must follow the Kyoto Prefecture guidelines for industrial chemical waste.</w:t>
      </w:r>
    </w:p>
    <w:bookmarkEnd w:id="22"/>
    <w:bookmarkStart w:id="23" w:name="equipment-and-materials"/>
    <w:p>
      <w:pPr>
        <w:pStyle w:val="Heading2"/>
      </w:pPr>
      <w:r>
        <w:t xml:space="preserve">4. Equipment and Materials</w:t>
      </w:r>
    </w:p>
    <w:p>
      <w:pPr>
        <w:pStyle w:val="FirstParagraph"/>
      </w:pPr>
      <w:r>
        <w:t xml:space="preserve">The following equipment will be utilized for this experiment, all of which must be calibrated prior to use:</w:t>
      </w:r>
    </w:p>
    <w:p>
      <w:pPr>
        <w:numPr>
          <w:ilvl w:val="0"/>
          <w:numId w:val="1002"/>
        </w:numPr>
        <w:pStyle w:val="Compact"/>
      </w:pPr>
      <w:r>
        <w:rPr>
          <w:bCs/>
          <w:b/>
        </w:rPr>
        <w:t xml:space="preserve">Subsonic Wind Tunnel:</w:t>
      </w:r>
      <w:r>
        <w:t xml:space="preserve"> </w:t>
      </w:r>
      <w:r>
        <w:t xml:space="preserve">Capable of generating airflow up to Mach 0.8 with a test section of 2m x 2m.</w:t>
      </w:r>
    </w:p>
    <w:p>
      <w:pPr>
        <w:numPr>
          <w:ilvl w:val="0"/>
          <w:numId w:val="1002"/>
        </w:numPr>
        <w:pStyle w:val="Compact"/>
      </w:pPr>
      <w:r>
        <w:rPr>
          <w:bCs/>
          <w:b/>
        </w:rPr>
        <w:t xml:space="preserve">Environmental Chamber:</w:t>
      </w:r>
      <w:r>
        <w:t xml:space="preserve"> </w:t>
      </w:r>
      <w:r>
        <w:t xml:space="preserve">Integrated with the wind tunnel to control temperature and humidity.</w:t>
      </w:r>
    </w:p>
    <w:p>
      <w:pPr>
        <w:numPr>
          <w:ilvl w:val="0"/>
          <w:numId w:val="1002"/>
        </w:numPr>
        <w:pStyle w:val="Compact"/>
      </w:pPr>
      <w:r>
        <w:rPr>
          <w:bCs/>
          <w:b/>
        </w:rPr>
        <w:t xml:space="preserve">Strain Gauges:</w:t>
      </w:r>
      <w:r>
        <w:t xml:space="preserve"> </w:t>
      </w:r>
      <w:r>
        <w:t xml:space="preserve">High-precision foil strain gauges attached to the CFRP wing specimens.</w:t>
      </w:r>
    </w:p>
    <w:p>
      <w:pPr>
        <w:numPr>
          <w:ilvl w:val="0"/>
          <w:numId w:val="1002"/>
        </w:numPr>
        <w:pStyle w:val="Compact"/>
      </w:pPr>
      <w:r>
        <w:rPr>
          <w:bCs/>
          <w:b/>
        </w:rPr>
        <w:t xml:space="preserve">Data Acquisition System (DAQ):</w:t>
      </w:r>
      <w:r>
        <w:t xml:space="preserve"> </w:t>
      </w:r>
      <w:r>
        <w:t xml:space="preserve">A multi-channel system capable of recording data at 10kHz sampling rate.</w:t>
      </w:r>
    </w:p>
    <w:p>
      <w:pPr>
        <w:numPr>
          <w:ilvl w:val="0"/>
          <w:numId w:val="1002"/>
        </w:numPr>
        <w:pStyle w:val="Compact"/>
      </w:pPr>
      <w:r>
        <w:rPr>
          <w:bCs/>
          <w:b/>
        </w:rPr>
        <w:t xml:space="preserve">Test Specimens:</w:t>
      </w:r>
      <w:r>
        <w:t xml:space="preserve"> </w:t>
      </w:r>
      <w:r>
        <w:t xml:space="preserve">Five identical CFRP wing segments manufactured according to ISO 9001 standards.</w:t>
      </w:r>
    </w:p>
    <w:bookmarkEnd w:id="23"/>
    <w:bookmarkStart w:id="27" w:name="experimental-procedure"/>
    <w:p>
      <w:pPr>
        <w:pStyle w:val="Heading2"/>
      </w:pPr>
      <w:r>
        <w:t xml:space="preserve">5. Experimental Procedure</w:t>
      </w:r>
    </w:p>
    <w:p>
      <w:pPr>
        <w:pStyle w:val="FirstParagraph"/>
      </w:pPr>
      <w:r>
        <w:t xml:space="preserve">The experiment will be conducted in three distinct phases. The Aerospace Engineer in charge must document each step meticulously.</w:t>
      </w:r>
    </w:p>
    <w:bookmarkStart w:id="24" w:name="phase-1-preparation-and-calibration"/>
    <w:p>
      <w:pPr>
        <w:pStyle w:val="Heading3"/>
      </w:pPr>
      <w:r>
        <w:t xml:space="preserve">Phase 1: Preparation and Calibration</w:t>
      </w:r>
    </w:p>
    <w:p>
      <w:pPr>
        <w:pStyle w:val="FirstParagraph"/>
      </w:pPr>
      <w:r>
        <w:t xml:space="preserve">Begin by inspecting the wind tunnel for any debris or obstructions. Calibrate the airflow sensors using a standard pitot tube. Install the test specimen securely within the test section, ensuring that all mounting points are torqued to the specified values. Attach the strain gauges and connect them to the DAQ system. Verify that the environmental chamber is sealed and free of leaks. Set the initial temperature to 20°C and allow the system to stabilize for 30 minutes.</w:t>
      </w:r>
    </w:p>
    <w:bookmarkEnd w:id="24"/>
    <w:bookmarkStart w:id="25" w:name="phase-2-data-acquisition"/>
    <w:p>
      <w:pPr>
        <w:pStyle w:val="Heading3"/>
      </w:pPr>
      <w:r>
        <w:t xml:space="preserve">Phase 2: Data Acquisition</w:t>
      </w:r>
    </w:p>
    <w:p>
      <w:pPr>
        <w:pStyle w:val="FirstParagraph"/>
      </w:pPr>
      <w:r>
        <w:t xml:space="preserve">Initiate the wind tunnel at a low speed (Mach 0.2) and gradually increase to the target speed (Mach 0.7) over a period of 10 minutes. Simultaneously, lower the temperature in the environmental chamber to -50°C at a rate of 5°C per minute. Once the target conditions are reached, maintain them for 2 hours while recording strain data, vibration levels, and surface temperature. The Aerospace Engineer must monitor the system continuously for any signs of structural distress or equipment malfunction.</w:t>
      </w:r>
    </w:p>
    <w:bookmarkEnd w:id="25"/>
    <w:bookmarkStart w:id="26" w:name="phase-3-shutdown-and-inspection"/>
    <w:p>
      <w:pPr>
        <w:pStyle w:val="Heading3"/>
      </w:pPr>
      <w:r>
        <w:t xml:space="preserve">Phase 3: Shutdown and Inspection</w:t>
      </w:r>
    </w:p>
    <w:p>
      <w:pPr>
        <w:pStyle w:val="FirstParagraph"/>
      </w:pPr>
      <w:r>
        <w:t xml:space="preserve">Gradually reduce the wind speed to zero and allow the temperature to return to ambient levels naturally. Do not force rapid warming, as this may induce thermal shock in the specimen. Once the system is at rest, power down the equipment following the standard shutdown sequence. Remove the test specimen and conduct a visual inspection for cracks, delamination, or other forms of damage. Document all findings with high-resolution photographs.</w:t>
      </w:r>
    </w:p>
    <w:bookmarkEnd w:id="26"/>
    <w:bookmarkEnd w:id="27"/>
    <w:bookmarkStart w:id="28" w:name="data-analysis-and-reporting"/>
    <w:p>
      <w:pPr>
        <w:pStyle w:val="Heading2"/>
      </w:pPr>
      <w:r>
        <w:t xml:space="preserve">6. Data Analysis and Reporting</w:t>
      </w:r>
    </w:p>
    <w:p>
      <w:pPr>
        <w:pStyle w:val="FirstParagraph"/>
      </w:pPr>
      <w:r>
        <w:t xml:space="preserve">All data collected during the experiment will be analyzed using specialized aerospace engineering software. The Aerospace Engineer will compare the experimental results with theoretical predictions and previous test data. Any discrepancies must be investigated and documented. A comprehensive report will be generated, detailing the methodology, results, and conclusions. This report will be submitted to the project management team and archived in the Kyoto facility’s digital repository.</w:t>
      </w:r>
    </w:p>
    <w:bookmarkEnd w:id="28"/>
    <w:bookmarkStart w:id="29" w:name="risk-management"/>
    <w:p>
      <w:pPr>
        <w:pStyle w:val="Heading2"/>
      </w:pPr>
      <w:r>
        <w:t xml:space="preserve">7. Risk Management</w:t>
      </w:r>
    </w:p>
    <w:p>
      <w:pPr>
        <w:pStyle w:val="FirstParagraph"/>
      </w:pPr>
      <w:r>
        <w:t xml:space="preserve">Potential risks include equipment failure, specimen rupture, and data loss. To mitigate these risks, redundant sensors will be used, and regular backups of the data will be performed. In the event of an emergency, all personnel must evacuate the testing area immediately and follow the facility’s emergency evacuation plan, which is posted prominently throughout the Kyoto laboratory.</w:t>
      </w:r>
    </w:p>
    <w:p>
      <w:pPr>
        <w:pStyle w:val="BodyText"/>
      </w:pPr>
      <w:r>
        <w:rPr>
          <w:bCs/>
          <w:b/>
        </w:rPr>
        <w:t xml:space="preserve">Note:</w:t>
      </w:r>
      <w:r>
        <w:t xml:space="preserve"> </w:t>
      </w:r>
      <w:r>
        <w:t xml:space="preserve">This protocol is subject to review and revision based on the outcomes of the experiment and any changes in regulatory requirements. All Aerospace Engineers involved must sign off on this document before commencing work.</w:t>
      </w:r>
    </w:p>
    <w:bookmarkEnd w:id="29"/>
    <w:bookmarkStart w:id="30" w:name="approval-and-signatures"/>
    <w:p>
      <w:pPr>
        <w:pStyle w:val="Heading2"/>
      </w:pPr>
      <w:r>
        <w:t xml:space="preserve">8. Approval and Signatures</w:t>
      </w:r>
    </w:p>
    <w:p>
      <w:pPr>
        <w:pStyle w:val="FirstParagraph"/>
      </w:pPr>
      <w:r>
        <w:t xml:space="preserve">By signing below, the undersigned acknowledge that they have read, understood, and agree to adhere to the procedures outlined in this Experiment Protocol.</w:t>
      </w:r>
    </w:p>
    <w:p>
      <w:pPr>
        <w:pStyle w:val="BodyText"/>
      </w:pPr>
      <w:r>
        <w:rPr>
          <w:bCs/>
          <w:b/>
        </w:rPr>
        <w:t xml:space="preserve">Lead Aerospace Engineer:</w:t>
      </w:r>
      <w:r>
        <w:br/>
      </w:r>
      <w:r>
        <w:t xml:space="preserve">__________________________</w:t>
      </w:r>
      <w:r>
        <w:br/>
      </w:r>
      <w:r>
        <w:t xml:space="preserve">Date: ____________________</w:t>
      </w:r>
    </w:p>
    <w:p>
      <w:pPr>
        <w:pStyle w:val="BodyText"/>
      </w:pPr>
      <w:r>
        <w:rPr>
          <w:bCs/>
          <w:b/>
        </w:rPr>
        <w:t xml:space="preserve">Safety Officer (Kyoto Facility):</w:t>
      </w:r>
      <w:r>
        <w:br/>
      </w:r>
      <w:r>
        <w:t xml:space="preserve">__________________________</w:t>
      </w:r>
      <w:r>
        <w:br/>
      </w:r>
      <w:r>
        <w:t xml:space="preserve">Date: ____________________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Aerospace Engineering Research in Kyoto, Japan</dc:title>
  <dc:creator/>
  <dc:language>en</dc:language>
  <cp:keywords/>
  <dcterms:created xsi:type="dcterms:W3CDTF">2026-10-10T05:08:16Z</dcterms:created>
  <dcterms:modified xsi:type="dcterms:W3CDTF">2026-10-10T05:08:16Z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