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Yangon,</w:t>
      </w:r>
      <w:r>
        <w:t xml:space="preserve"> </w:t>
      </w:r>
      <w:r>
        <w:t xml:space="preserve">Myanmar</w:t>
      </w:r>
    </w:p>
    <w:bookmarkStart w:id="31" w:name="X3efd074243a037e6666aed4ef109d6c7c5962f5"/>
    <w:p>
      <w:pPr>
        <w:pStyle w:val="Heading1"/>
      </w:pPr>
      <w:r>
        <w:t xml:space="preserve">Experiment Protocol: Aerodynamic Performance Testing of UAV Propulsion Systems</w:t>
      </w:r>
    </w:p>
    <w:p>
      <w:pPr>
        <w:pStyle w:val="FirstParagraph"/>
      </w:pPr>
      <w:r>
        <w:rPr>
          <w:bCs/>
          <w:b/>
        </w:rPr>
        <w:t xml:space="preserve">Project Title:</w:t>
      </w:r>
      <w:r>
        <w:t xml:space="preserve"> </w:t>
      </w:r>
      <w:r>
        <w:t xml:space="preserve">High-Humidity Aerodynamic Efficiency Analysis for Urban Air Mobility</w:t>
      </w:r>
    </w:p>
    <w:p>
      <w:pPr>
        <w:pStyle w:val="BodyText"/>
      </w:pPr>
      <w:r>
        <w:rPr>
          <w:bCs/>
          <w:b/>
        </w:rPr>
        <w:t xml:space="preserve">Location:</w:t>
      </w:r>
      <w:r>
        <w:t xml:space="preserve"> </w:t>
      </w:r>
      <w:r>
        <w:t xml:space="preserve">Yangon Technological University, Yangon, Myanmar</w:t>
      </w:r>
    </w:p>
    <w:p>
      <w:pPr>
        <w:pStyle w:val="BodyText"/>
      </w:pPr>
      <w:r>
        <w:rPr>
          <w:bCs/>
          <w:b/>
        </w:rPr>
        <w:t xml:space="preserve">Lead Investigator:</w:t>
      </w:r>
      <w:r>
        <w:t xml:space="preserve"> </w:t>
      </w:r>
      <w:r>
        <w:t xml:space="preserve">Senior 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evaluation of unmanned aerial vehicle (UAV) propulsion systems under specific environmental conditions found in</w:t>
      </w:r>
      <w:r>
        <w:t xml:space="preserve"> </w:t>
      </w:r>
      <w:r>
        <w:rPr>
          <w:bCs/>
          <w:b/>
        </w:rPr>
        <w:t xml:space="preserve">Myanmar Yangon</w:t>
      </w:r>
      <w:r>
        <w:t xml:space="preserve">. As an</w:t>
      </w:r>
      <w:r>
        <w:t xml:space="preserve"> </w:t>
      </w:r>
      <w:r>
        <w:rPr>
          <w:bCs/>
          <w:b/>
        </w:rPr>
        <w:t xml:space="preserve">Aerospace Engineer</w:t>
      </w:r>
      <w:r>
        <w:t xml:space="preserve"> </w:t>
      </w:r>
      <w:r>
        <w:t xml:space="preserve">operating in this region, it is critical to account for the unique atmospheric variables, specifically high ambient temperatures and extreme humidity levels prevalent during the monsoon and post-monsoon seasons.</w:t>
      </w:r>
    </w:p>
    <w:p>
      <w:pPr>
        <w:pStyle w:val="BodyText"/>
      </w:pPr>
      <w:r>
        <w:t xml:space="preserve">The primary objective of this experiment is to quantify the thrust-to-power ratio degradation of electric ducted fans (EDFs) when exposed to air densities and moisture contents typical of Yangon's tropical climate. This data is essential for the development of reliable air mobility solutions tailored to the Southeast Asian market.</w:t>
      </w:r>
    </w:p>
    <w:bookmarkEnd w:id="20"/>
    <w:bookmarkStart w:id="21" w:name="scope-and-applicability"/>
    <w:p>
      <w:pPr>
        <w:pStyle w:val="Heading2"/>
      </w:pPr>
      <w:r>
        <w:t xml:space="preserve">2. Scope and Applicability</w:t>
      </w:r>
    </w:p>
    <w:p>
      <w:pPr>
        <w:pStyle w:val="FirstParagraph"/>
      </w:pPr>
      <w:r>
        <w:t xml:space="preserve">This protocol applies to all testing conducted within the designated wind tunnel facility and outdoor test zones in Yangon. It governs the activities of the</w:t>
      </w:r>
      <w:r>
        <w:t xml:space="preserve"> </w:t>
      </w:r>
      <w:r>
        <w:rPr>
          <w:bCs/>
          <w:b/>
        </w:rPr>
        <w:t xml:space="preserve">Aerospace Engineer</w:t>
      </w:r>
      <w:r>
        <w:t xml:space="preserve"> </w:t>
      </w:r>
      <w:r>
        <w:t xml:space="preserve">team, including data acquisition, hardware setup, and safety monitoring. The scope includes:</w:t>
      </w:r>
    </w:p>
    <w:p>
      <w:pPr>
        <w:numPr>
          <w:ilvl w:val="0"/>
          <w:numId w:val="1001"/>
        </w:numPr>
        <w:pStyle w:val="Compact"/>
      </w:pPr>
      <w:r>
        <w:t xml:space="preserve">Static thrust testing of prototype propulsion units.</w:t>
      </w:r>
    </w:p>
    <w:p>
      <w:pPr>
        <w:numPr>
          <w:ilvl w:val="0"/>
          <w:numId w:val="1001"/>
        </w:numPr>
        <w:pStyle w:val="Compact"/>
      </w:pPr>
      <w:r>
        <w:t xml:space="preserve">Environmental stress testing simulating Yangon's peak humidity (90%+).</w:t>
      </w:r>
    </w:p>
    <w:p>
      <w:pPr>
        <w:numPr>
          <w:ilvl w:val="0"/>
          <w:numId w:val="1001"/>
        </w:numPr>
        <w:pStyle w:val="Compact"/>
      </w:pPr>
      <w:r>
        <w:t xml:space="preserve">Thermal management analysis of battery packs under load.</w:t>
      </w:r>
    </w:p>
    <w:bookmarkEnd w:id="21"/>
    <w:bookmarkStart w:id="22" w:name="Xacc3c3e6e3016c8756b1345875b6bbef9ad248f"/>
    <w:p>
      <w:pPr>
        <w:pStyle w:val="Heading2"/>
      </w:pPr>
      <w:r>
        <w:t xml:space="preserve">3. Environmental Considerations: The Yangon Context</w:t>
      </w:r>
    </w:p>
    <w:p>
      <w:pPr>
        <w:pStyle w:val="FirstParagraph"/>
      </w:pPr>
      <w:r>
        <w:t xml:space="preserve">Testing in</w:t>
      </w:r>
      <w:r>
        <w:t xml:space="preserve"> </w:t>
      </w:r>
      <w:r>
        <w:rPr>
          <w:bCs/>
          <w:b/>
        </w:rPr>
        <w:t xml:space="preserve">Myanmar Yangon</w:t>
      </w:r>
      <w:r>
        <w:t xml:space="preserve"> </w:t>
      </w:r>
      <w:r>
        <w:t xml:space="preserve">presents distinct challenges compared to temperate regions. The</w:t>
      </w:r>
      <w:r>
        <w:t xml:space="preserve"> </w:t>
      </w:r>
      <w:r>
        <w:rPr>
          <w:bCs/>
          <w:b/>
        </w:rPr>
        <w:t xml:space="preserve">Aerospace Engineer</w:t>
      </w:r>
      <w:r>
        <w:t xml:space="preserve"> </w:t>
      </w:r>
      <w:r>
        <w:t xml:space="preserve">must calibrate all instruments to account for local atmospheric pressure and temperature fluctuations.</w:t>
      </w:r>
    </w:p>
    <w:p>
      <w:pPr>
        <w:numPr>
          <w:ilvl w:val="0"/>
          <w:numId w:val="1002"/>
        </w:numPr>
        <w:pStyle w:val="Compact"/>
      </w:pPr>
      <w:r>
        <w:rPr>
          <w:bCs/>
          <w:b/>
        </w:rPr>
        <w:t xml:space="preserve">Humidity:</w:t>
      </w:r>
      <w:r>
        <w:t xml:space="preserve"> </w:t>
      </w:r>
      <w:r>
        <w:t xml:space="preserve">Yangon experiences high relative humidity year-round. Moisture ingress can affect electronic speed controllers (ESCs) and motor bearings. Protocols must include moisture-proofing checks.</w:t>
      </w:r>
    </w:p>
    <w:p>
      <w:pPr>
        <w:numPr>
          <w:ilvl w:val="0"/>
          <w:numId w:val="1002"/>
        </w:numPr>
        <w:pStyle w:val="Compact"/>
      </w:pPr>
      <w:r>
        <w:rPr>
          <w:bCs/>
          <w:b/>
        </w:rPr>
        <w:t xml:space="preserve">Temperature:</w:t>
      </w:r>
      <w:r>
        <w:t xml:space="preserve"> </w:t>
      </w:r>
      <w:r>
        <w:t xml:space="preserve">Ambient temperatures often exceed 35°C (95°F). This affects air density, reducing lift, and increases the thermal load on propulsion components.</w:t>
      </w:r>
    </w:p>
    <w:p>
      <w:pPr>
        <w:numPr>
          <w:ilvl w:val="0"/>
          <w:numId w:val="1002"/>
        </w:numPr>
        <w:pStyle w:val="Compact"/>
      </w:pPr>
      <w:r>
        <w:rPr>
          <w:bCs/>
          <w:b/>
        </w:rPr>
        <w:t xml:space="preserve">Power Stability:</w:t>
      </w:r>
      <w:r>
        <w:t xml:space="preserve"> </w:t>
      </w:r>
      <w:r>
        <w:t xml:space="preserve">Given local infrastructure variables, the experiment requires the use of uninterruptible power supplies (UPS) to ensure data integrity during grid fluctuations.</w:t>
      </w:r>
    </w:p>
    <w:bookmarkEnd w:id="22"/>
    <w:bookmarkStart w:id="23" w:name="equipment-and-materials"/>
    <w:p>
      <w:pPr>
        <w:pStyle w:val="Heading2"/>
      </w:pPr>
      <w:r>
        <w:t xml:space="preserve">4. Equipment and Materials</w:t>
      </w:r>
    </w:p>
    <w:p>
      <w:pPr>
        <w:pStyle w:val="FirstParagraph"/>
      </w:pPr>
      <w:r>
        <w:t xml:space="preserve">The following equipment is mandatory for this experiment:</w:t>
      </w:r>
    </w:p>
    <w:p>
      <w:pPr>
        <w:numPr>
          <w:ilvl w:val="0"/>
          <w:numId w:val="1003"/>
        </w:numPr>
        <w:pStyle w:val="Compact"/>
      </w:pPr>
      <w:r>
        <w:t xml:space="preserve">Calibrated Thrust Stand with load cells (accuracy ±0.01N).</w:t>
      </w:r>
    </w:p>
    <w:p>
      <w:pPr>
        <w:numPr>
          <w:ilvl w:val="0"/>
          <w:numId w:val="1003"/>
        </w:numPr>
        <w:pStyle w:val="Compact"/>
      </w:pPr>
      <w:r>
        <w:t xml:space="preserve">High-speed data acquisition system (DAQ).</w:t>
      </w:r>
    </w:p>
    <w:p>
      <w:pPr>
        <w:numPr>
          <w:ilvl w:val="0"/>
          <w:numId w:val="1003"/>
        </w:numPr>
        <w:pStyle w:val="Compact"/>
      </w:pPr>
      <w:r>
        <w:t xml:space="preserve">Environmental chamber capable of maintaining 35°C and 90% RH.</w:t>
      </w:r>
    </w:p>
    <w:p>
      <w:pPr>
        <w:numPr>
          <w:ilvl w:val="0"/>
          <w:numId w:val="1003"/>
        </w:numPr>
        <w:pStyle w:val="Compact"/>
      </w:pPr>
      <w:r>
        <w:t xml:space="preserve">Prototype EDF units (3 units for statistical significance).</w:t>
      </w:r>
    </w:p>
    <w:p>
      <w:pPr>
        <w:numPr>
          <w:ilvl w:val="0"/>
          <w:numId w:val="1003"/>
        </w:numPr>
        <w:pStyle w:val="Compact"/>
      </w:pPr>
      <w:r>
        <w:t xml:space="preserve">Lithium Polymer (LiPo) battery packs with integrated thermal sensors.</w:t>
      </w:r>
    </w:p>
    <w:p>
      <w:pPr>
        <w:numPr>
          <w:ilvl w:val="0"/>
          <w:numId w:val="1003"/>
        </w:numPr>
        <w:pStyle w:val="Compact"/>
      </w:pPr>
      <w:r>
        <w:t xml:space="preserve">Personal Protective Equipment (PPE): Safety glasses, hearing protection, and fire-resistant gloves.</w:t>
      </w:r>
    </w:p>
    <w:bookmarkEnd w:id="23"/>
    <w:bookmarkStart w:id="24" w:name="safety-procedures"/>
    <w:p>
      <w:pPr>
        <w:pStyle w:val="Heading2"/>
      </w:pPr>
      <w:r>
        <w:t xml:space="preserve">5. Safety Procedures</w:t>
      </w:r>
    </w:p>
    <w:p>
      <w:pPr>
        <w:pStyle w:val="FirstParagraph"/>
      </w:pPr>
      <w:r>
        <w:t xml:space="preserve">Safety is paramount. The</w:t>
      </w:r>
      <w:r>
        <w:t xml:space="preserve"> </w:t>
      </w:r>
      <w:r>
        <w:rPr>
          <w:bCs/>
          <w:b/>
        </w:rPr>
        <w:t xml:space="preserve">Aerospace Engineer</w:t>
      </w:r>
      <w:r>
        <w:t xml:space="preserve"> </w:t>
      </w:r>
      <w:r>
        <w:t xml:space="preserve">in charge must enforce the following:</w:t>
      </w:r>
    </w:p>
    <w:p>
      <w:pPr>
        <w:numPr>
          <w:ilvl w:val="0"/>
          <w:numId w:val="1004"/>
        </w:numPr>
        <w:pStyle w:val="Compact"/>
      </w:pPr>
      <w:r>
        <w:rPr>
          <w:bCs/>
          <w:b/>
        </w:rPr>
        <w:t xml:space="preserve">Rotating Machinery:</w:t>
      </w:r>
      <w:r>
        <w:t xml:space="preserve"> </w:t>
      </w:r>
      <w:r>
        <w:t xml:space="preserve">All propellers must be guarded during static testing. No personnel are allowed within the "kill zone" (direct line of thrust) during operation.</w:t>
      </w:r>
    </w:p>
    <w:p>
      <w:pPr>
        <w:numPr>
          <w:ilvl w:val="0"/>
          <w:numId w:val="1004"/>
        </w:numPr>
        <w:pStyle w:val="Compact"/>
      </w:pPr>
      <w:r>
        <w:rPr>
          <w:bCs/>
          <w:b/>
        </w:rPr>
        <w:t xml:space="preserve">Electrical Safety:</w:t>
      </w:r>
      <w:r>
        <w:t xml:space="preserve"> </w:t>
      </w:r>
      <w:r>
        <w:t xml:space="preserve">High-voltage battery connections must be insulated. In the event of a thermal runaway, Class D fire extinguishers must be immediately accessible.</w:t>
      </w:r>
    </w:p>
    <w:p>
      <w:pPr>
        <w:numPr>
          <w:ilvl w:val="0"/>
          <w:numId w:val="1004"/>
        </w:numPr>
        <w:pStyle w:val="Compact"/>
      </w:pPr>
      <w:r>
        <w:rPr>
          <w:bCs/>
          <w:b/>
        </w:rPr>
        <w:t xml:space="preserve">Local Regulations:</w:t>
      </w:r>
      <w:r>
        <w:t xml:space="preserve"> </w:t>
      </w:r>
      <w:r>
        <w:t xml:space="preserve">Compliance with Myanmar's aviation safety guidelines regarding UAV testing is mandatory. Noise levels must not exceed local municipal limits in Yangon.</w:t>
      </w:r>
    </w:p>
    <w:bookmarkEnd w:id="24"/>
    <w:bookmarkStart w:id="28" w:name="experimental-procedure"/>
    <w:p>
      <w:pPr>
        <w:pStyle w:val="Heading2"/>
      </w:pPr>
      <w:r>
        <w:t xml:space="preserve">6. Experimental Procedure</w:t>
      </w:r>
    </w:p>
    <w:p>
      <w:pPr>
        <w:pStyle w:val="FirstParagraph"/>
      </w:pPr>
      <w:r>
        <w:t xml:space="preserve">The experiment will be conducted in three phases:</w:t>
      </w:r>
    </w:p>
    <w:bookmarkStart w:id="25" w:name="phase-1-calibration"/>
    <w:p>
      <w:pPr>
        <w:pStyle w:val="Heading3"/>
      </w:pPr>
      <w:r>
        <w:t xml:space="preserve">Phase 1: Calibration</w:t>
      </w:r>
    </w:p>
    <w:p>
      <w:pPr>
        <w:pStyle w:val="FirstParagraph"/>
      </w:pPr>
      <w:r>
        <w:t xml:space="preserve">Zero the thrust stand and calibrate the DAQ system. Record ambient temperature, pressure, and humidity using a local weather station reference to establish a baseline for Yangon conditions.</w:t>
      </w:r>
    </w:p>
    <w:bookmarkEnd w:id="25"/>
    <w:bookmarkStart w:id="26" w:name="phase-2-standard-testing"/>
    <w:p>
      <w:pPr>
        <w:pStyle w:val="Heading3"/>
      </w:pPr>
      <w:r>
        <w:t xml:space="preserve">Phase 2: Standard Testing</w:t>
      </w:r>
    </w:p>
    <w:p>
      <w:pPr>
        <w:pStyle w:val="FirstParagraph"/>
      </w:pPr>
      <w:r>
        <w:t xml:space="preserve">Mount the first EDF unit. Apply power in increments of 10% throttle from 0% to 100%. Hold each increment for 30 seconds to record steady-state thrust and current draw. Repeat for all three units.</w:t>
      </w:r>
    </w:p>
    <w:bookmarkEnd w:id="26"/>
    <w:bookmarkStart w:id="27" w:name="phase-3-environmental-stress-testing"/>
    <w:p>
      <w:pPr>
        <w:pStyle w:val="Heading3"/>
      </w:pPr>
      <w:r>
        <w:t xml:space="preserve">Phase 3: Environmental Stress Testing</w:t>
      </w:r>
    </w:p>
    <w:p>
      <w:pPr>
        <w:pStyle w:val="FirstParagraph"/>
      </w:pPr>
      <w:r>
        <w:t xml:space="preserve">Place the propulsion system inside the environmental chamber. Set conditions to 35°C and 90% Relative Humidity (simulating a humid afternoon in Yangon). Repeat the throttle ramp-up procedure. Monitor for condensation on electronics and thermal throttling of the motor.</w:t>
      </w:r>
    </w:p>
    <w:bookmarkEnd w:id="27"/>
    <w:bookmarkEnd w:id="28"/>
    <w:bookmarkStart w:id="29" w:name="data-analysis-and-reporting"/>
    <w:p>
      <w:pPr>
        <w:pStyle w:val="Heading2"/>
      </w:pPr>
      <w:r>
        <w:t xml:space="preserve">7. Data Analysis and Reporting</w:t>
      </w:r>
    </w:p>
    <w:p>
      <w:pPr>
        <w:pStyle w:val="FirstParagraph"/>
      </w:pPr>
      <w:r>
        <w:t xml:space="preserve">The</w:t>
      </w:r>
      <w:r>
        <w:t xml:space="preserve"> </w:t>
      </w:r>
      <w:r>
        <w:rPr>
          <w:bCs/>
          <w:b/>
        </w:rPr>
        <w:t xml:space="preserve">Aerospace Engineer</w:t>
      </w:r>
      <w:r>
        <w:t xml:space="preserve"> </w:t>
      </w:r>
      <w:r>
        <w:t xml:space="preserve">will analyze the data to determine:</w:t>
      </w:r>
    </w:p>
    <w:p>
      <w:pPr>
        <w:numPr>
          <w:ilvl w:val="0"/>
          <w:numId w:val="1005"/>
        </w:numPr>
        <w:pStyle w:val="Compact"/>
      </w:pPr>
      <w:r>
        <w:t xml:space="preserve">The percentage loss in thrust efficiency due to high humidity.</w:t>
      </w:r>
    </w:p>
    <w:p>
      <w:pPr>
        <w:numPr>
          <w:ilvl w:val="0"/>
          <w:numId w:val="1005"/>
        </w:numPr>
        <w:pStyle w:val="Compact"/>
      </w:pPr>
      <w:r>
        <w:t xml:space="preserve">The correlation between ambient temperature and battery discharge rates.</w:t>
      </w:r>
    </w:p>
    <w:p>
      <w:pPr>
        <w:numPr>
          <w:ilvl w:val="0"/>
          <w:numId w:val="1005"/>
        </w:numPr>
        <w:pStyle w:val="Compact"/>
      </w:pPr>
      <w:r>
        <w:t xml:space="preserve">Reliability metrics for operation in</w:t>
      </w:r>
      <w:r>
        <w:t xml:space="preserve"> </w:t>
      </w:r>
      <w:r>
        <w:rPr>
          <w:bCs/>
          <w:b/>
        </w:rPr>
        <w:t xml:space="preserve">Myanmar Yangon</w:t>
      </w:r>
      <w:r>
        <w:t xml:space="preserve"> </w:t>
      </w:r>
      <w:r>
        <w:t xml:space="preserve">specific climates.</w:t>
      </w:r>
    </w:p>
    <w:p>
      <w:pPr>
        <w:pStyle w:val="FirstParagraph"/>
      </w:pPr>
      <w:r>
        <w:t xml:space="preserve">Results must be documented in a formal technical report, including raw data logs, error analysis, and recommendations for design modifications to improve performance in tropical environments.</w:t>
      </w:r>
    </w:p>
    <w:bookmarkEnd w:id="29"/>
    <w:bookmarkStart w:id="30" w:name="conclusion"/>
    <w:p>
      <w:pPr>
        <w:pStyle w:val="Heading2"/>
      </w:pPr>
      <w:r>
        <w:t xml:space="preserve">8. Conclusion</w:t>
      </w:r>
    </w:p>
    <w:p>
      <w:pPr>
        <w:pStyle w:val="FirstParagraph"/>
      </w:pPr>
      <w:r>
        <w:t xml:space="preserve">This Experiment Protocol ensures that aerospace research conducted in Yangon is scientifically valid, safe, and relevant to the local environment. By adhering to these standards, the</w:t>
      </w:r>
      <w:r>
        <w:t xml:space="preserve"> </w:t>
      </w:r>
      <w:r>
        <w:rPr>
          <w:bCs/>
          <w:b/>
        </w:rPr>
        <w:t xml:space="preserve">Aerospace Engineer</w:t>
      </w:r>
      <w:r>
        <w:t xml:space="preserve"> </w:t>
      </w:r>
      <w:r>
        <w:t xml:space="preserve">contributes to the advancement of aviation technology suited for the unique challenges of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Yangon, Myanmar</dc:title>
  <dc:creator/>
  <dc:language>en</dc:language>
  <cp:keywords/>
  <dcterms:created xsi:type="dcterms:W3CDTF">2026-10-10T01:47:53Z</dcterms:created>
  <dcterms:modified xsi:type="dcterms:W3CDTF">2026-10-10T01:47:53Z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