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31" w:name="X1c36daa396c1b7293dde6d9c5d9a52a120c3cbb"/>
    <w:p>
      <w:pPr>
        <w:pStyle w:val="Heading1"/>
      </w:pPr>
      <w:r>
        <w:t xml:space="preserve">Experiment Protocol: High-Altitude Aerodynamic Testing for UAVs</w:t>
      </w:r>
    </w:p>
    <w:p>
      <w:pPr>
        <w:pStyle w:val="FirstParagraph"/>
      </w:pPr>
      <w:r>
        <w:rPr>
          <w:bCs/>
          <w:b/>
        </w:rPr>
        <w:t xml:space="preserve">Document ID:</w:t>
      </w:r>
      <w:r>
        <w:t xml:space="preserve"> </w:t>
      </w:r>
      <w:r>
        <w:t xml:space="preserve">NEP-AERO-2024-001</w:t>
      </w:r>
    </w:p>
    <w:p>
      <w:pPr>
        <w:pStyle w:val="BodyText"/>
      </w:pPr>
      <w:r>
        <w:rPr>
          <w:bCs/>
          <w:b/>
        </w:rPr>
        <w:t xml:space="preserve">Location:</w:t>
      </w:r>
      <w:r>
        <w:t xml:space="preserve"> </w:t>
      </w:r>
      <w:r>
        <w:t xml:space="preserve">Nepal Kathmandu, Tribhuvan University / Nepal Aerospace Association</w:t>
      </w:r>
    </w:p>
    <w:p>
      <w:pPr>
        <w:pStyle w:val="BodyText"/>
      </w:pPr>
      <w:r>
        <w:rPr>
          <w:bCs/>
          <w:b/>
        </w:rPr>
        <w:t xml:space="preserve">Role:</w:t>
      </w:r>
      <w:r>
        <w:t xml:space="preserve"> </w:t>
      </w:r>
      <w:r>
        <w:t xml:space="preserve">Aerospace Engineer</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Standard Operating Procedure for Wind Tunnel and Flight Testing in Himalayan Conditions</w:t>
      </w:r>
    </w:p>
    <w:bookmarkStart w:id="20" w:name="introduction-and-objective"/>
    <w:p>
      <w:pPr>
        <w:pStyle w:val="Heading2"/>
      </w:pPr>
      <w:r>
        <w:t xml:space="preserve">1. Introduction and Objective</w:t>
      </w:r>
    </w:p>
    <w:p>
      <w:pPr>
        <w:pStyle w:val="FirstParagraph"/>
      </w:pPr>
      <w:r>
        <w:t xml:space="preserve">This Experiment Protocol is designed specifically for the</w:t>
      </w:r>
      <w:r>
        <w:t xml:space="preserve"> </w:t>
      </w:r>
      <w:r>
        <w:rPr>
          <w:bCs/>
          <w:b/>
        </w:rPr>
        <w:t xml:space="preserve">Aerospace Engineer</w:t>
      </w:r>
      <w:r>
        <w:t xml:space="preserve"> </w:t>
      </w:r>
      <w:r>
        <w:t xml:space="preserve">operating within the unique geographical and atmospheric context of</w:t>
      </w:r>
      <w:r>
        <w:t xml:space="preserve"> </w:t>
      </w:r>
      <w:r>
        <w:rPr>
          <w:bCs/>
          <w:b/>
        </w:rPr>
        <w:t xml:space="preserve">Nepal Kathmandu</w:t>
      </w:r>
      <w:r>
        <w:t xml:space="preserve">. The primary objective is to validate the aerodynamic performance, structural integrity, and avionics stability of Unmanned Aerial Vehicles (UAVs) intended for high-altitude operations in the Himalayan region.</w:t>
      </w:r>
    </w:p>
    <w:p>
      <w:pPr>
        <w:pStyle w:val="BodyText"/>
      </w:pPr>
      <w:r>
        <w:t xml:space="preserve">As an</w:t>
      </w:r>
      <w:r>
        <w:t xml:space="preserve"> </w:t>
      </w:r>
      <w:r>
        <w:rPr>
          <w:bCs/>
          <w:b/>
        </w:rPr>
        <w:t xml:space="preserve">Aerospace Engineer</w:t>
      </w:r>
      <w:r>
        <w:t xml:space="preserve"> </w:t>
      </w:r>
      <w:r>
        <w:t xml:space="preserve">based in</w:t>
      </w:r>
      <w:r>
        <w:t xml:space="preserve"> </w:t>
      </w:r>
      <w:r>
        <w:rPr>
          <w:bCs/>
          <w:b/>
        </w:rPr>
        <w:t xml:space="preserve">Nepal Kathmandu</w:t>
      </w:r>
      <w:r>
        <w:t xml:space="preserve">, one must account for the valley's specific microclimate, which includes high humidity during the monsoon, significant temperature fluctuations, and turbulent air currents caused by the surrounding mountain ranges. This protocol ensures that all experimental data collected is scientifically valid, reproducible, and safe for the local community.</w:t>
      </w:r>
    </w:p>
    <w:bookmarkEnd w:id="20"/>
    <w:bookmarkStart w:id="21" w:name="scope-and-applicability"/>
    <w:p>
      <w:pPr>
        <w:pStyle w:val="Heading2"/>
      </w:pPr>
      <w:r>
        <w:t xml:space="preserve">2. Scope and Applicability</w:t>
      </w:r>
    </w:p>
    <w:p>
      <w:pPr>
        <w:pStyle w:val="FirstParagraph"/>
      </w:pPr>
      <w:r>
        <w:t xml:space="preserve">This protocol applies to all wind tunnel testing, static load testing, and controlled flight trials conducted by the</w:t>
      </w:r>
      <w:r>
        <w:t xml:space="preserve"> </w:t>
      </w:r>
      <w:r>
        <w:rPr>
          <w:bCs/>
          <w:b/>
        </w:rPr>
        <w:t xml:space="preserve">Aerospace Engineer</w:t>
      </w:r>
      <w:r>
        <w:t xml:space="preserve"> </w:t>
      </w:r>
      <w:r>
        <w:t xml:space="preserve">in facilities located in the Kathmandu Valley. It covers:</w:t>
      </w:r>
    </w:p>
    <w:p>
      <w:pPr>
        <w:numPr>
          <w:ilvl w:val="0"/>
          <w:numId w:val="1001"/>
        </w:numPr>
        <w:pStyle w:val="Compact"/>
      </w:pPr>
      <w:r>
        <w:t xml:space="preserve">Aerodynamic coefficient determination (Lift, Drag, Moment).</w:t>
      </w:r>
    </w:p>
    <w:p>
      <w:pPr>
        <w:numPr>
          <w:ilvl w:val="0"/>
          <w:numId w:val="1001"/>
        </w:numPr>
        <w:pStyle w:val="Compact"/>
      </w:pPr>
      <w:r>
        <w:t xml:space="preserve">Propulsion system efficiency at varying air densities.</w:t>
      </w:r>
    </w:p>
    <w:p>
      <w:pPr>
        <w:numPr>
          <w:ilvl w:val="0"/>
          <w:numId w:val="1001"/>
        </w:numPr>
        <w:pStyle w:val="Compact"/>
      </w:pPr>
      <w:r>
        <w:t xml:space="preserve">Avionics performance under electromagnetic interference common in urban</w:t>
      </w:r>
      <w:r>
        <w:t xml:space="preserve"> </w:t>
      </w:r>
      <w:r>
        <w:rPr>
          <w:bCs/>
          <w:b/>
        </w:rPr>
        <w:t xml:space="preserve">Nepal Kathmandu</w:t>
      </w:r>
      <w:r>
        <w:t xml:space="preserve">.</w:t>
      </w:r>
    </w:p>
    <w:p>
      <w:pPr>
        <w:numPr>
          <w:ilvl w:val="0"/>
          <w:numId w:val="1001"/>
        </w:numPr>
        <w:pStyle w:val="Compact"/>
      </w:pPr>
      <w:r>
        <w:t xml:space="preserve">Structural response to high-altitude vibration profiles.</w:t>
      </w:r>
    </w:p>
    <w:bookmarkEnd w:id="21"/>
    <w:bookmarkStart w:id="22" w:name="X7c8265d82ac59ddce08798be398f39eb49ea9be"/>
    <w:p>
      <w:pPr>
        <w:pStyle w:val="Heading2"/>
      </w:pPr>
      <w:r>
        <w:t xml:space="preserve">3. Environmental Considerations for Nepal Kathmandu</w:t>
      </w:r>
    </w:p>
    <w:p>
      <w:pPr>
        <w:pStyle w:val="FirstParagraph"/>
      </w:pPr>
      <w:r>
        <w:t xml:space="preserve">The</w:t>
      </w:r>
      <w:r>
        <w:t xml:space="preserve"> </w:t>
      </w:r>
      <w:r>
        <w:rPr>
          <w:bCs/>
          <w:b/>
        </w:rPr>
        <w:t xml:space="preserve">Aerospace Engineer</w:t>
      </w:r>
      <w:r>
        <w:t xml:space="preserve"> </w:t>
      </w:r>
      <w:r>
        <w:t xml:space="preserve">must calibrate all instruments based on the specific environmental conditions of</w:t>
      </w:r>
      <w:r>
        <w:t xml:space="preserve"> </w:t>
      </w:r>
      <w:r>
        <w:rPr>
          <w:bCs/>
          <w:b/>
        </w:rPr>
        <w:t xml:space="preserve">Nepal Kathmandu</w:t>
      </w:r>
      <w:r>
        <w:t xml:space="preserve">. The valley sits at approximately 1,400 meters above sea level. However, the target operational environment for many aerospace projects in Nepal is significantly higher. Therefore, the experiment must simulate conditions ranging from sea level to 5,000 meters.</w:t>
      </w:r>
    </w:p>
    <w:p>
      <w:pPr>
        <w:pStyle w:val="BodyText"/>
      </w:pPr>
      <w:r>
        <w:rPr>
          <w:bCs/>
          <w:b/>
        </w:rPr>
        <w:t xml:space="preserve">Key Environmental Factors:</w:t>
      </w:r>
    </w:p>
    <w:p>
      <w:pPr>
        <w:numPr>
          <w:ilvl w:val="0"/>
          <w:numId w:val="1002"/>
        </w:numPr>
        <w:pStyle w:val="Compact"/>
      </w:pPr>
      <w:r>
        <w:rPr>
          <w:bCs/>
          <w:b/>
        </w:rPr>
        <w:t xml:space="preserve">Air Density:</w:t>
      </w:r>
      <w:r>
        <w:t xml:space="preserve"> </w:t>
      </w:r>
      <w:r>
        <w:t xml:space="preserve">Adjustments must be made for the lower air density in Kathmandu compared to sea level, which affects lift generation and engine thrust.</w:t>
      </w:r>
    </w:p>
    <w:p>
      <w:pPr>
        <w:numPr>
          <w:ilvl w:val="0"/>
          <w:numId w:val="1002"/>
        </w:numPr>
        <w:pStyle w:val="Compact"/>
      </w:pPr>
      <w:r>
        <w:rPr>
          <w:bCs/>
          <w:b/>
        </w:rPr>
        <w:t xml:space="preserve">Humidity:</w:t>
      </w:r>
      <w:r>
        <w:t xml:space="preserve"> </w:t>
      </w:r>
      <w:r>
        <w:t xml:space="preserve">During the monsoon season (June to September), humidity in</w:t>
      </w:r>
      <w:r>
        <w:t xml:space="preserve"> </w:t>
      </w:r>
      <w:r>
        <w:rPr>
          <w:bCs/>
          <w:b/>
        </w:rPr>
        <w:t xml:space="preserve">Nepal Kathmandu</w:t>
      </w:r>
      <w:r>
        <w:t xml:space="preserve"> </w:t>
      </w:r>
      <w:r>
        <w:t xml:space="preserve">can exceed 80%. The</w:t>
      </w:r>
      <w:r>
        <w:t xml:space="preserve"> </w:t>
      </w:r>
      <w:r>
        <w:rPr>
          <w:bCs/>
          <w:b/>
        </w:rPr>
        <w:t xml:space="preserve">Aerospace Engineer</w:t>
      </w:r>
      <w:r>
        <w:t xml:space="preserve"> </w:t>
      </w:r>
      <w:r>
        <w:t xml:space="preserve">must ensure all electronic components are conformally coated and tested for moisture resistance.</w:t>
      </w:r>
    </w:p>
    <w:p>
      <w:pPr>
        <w:numPr>
          <w:ilvl w:val="0"/>
          <w:numId w:val="1002"/>
        </w:numPr>
        <w:pStyle w:val="Compact"/>
      </w:pPr>
      <w:r>
        <w:rPr>
          <w:bCs/>
          <w:b/>
        </w:rPr>
        <w:t xml:space="preserve">Seismic Activity:</w:t>
      </w:r>
      <w:r>
        <w:t xml:space="preserve"> </w:t>
      </w:r>
      <w:r>
        <w:t xml:space="preserve">Given Nepal's location on a seismic fault line, the testing rig and wind tunnel structures must be inspected for stability prior to each experiment.</w:t>
      </w:r>
    </w:p>
    <w:bookmarkEnd w:id="22"/>
    <w:bookmarkStart w:id="23" w:name="equipment-and-instrumentation"/>
    <w:p>
      <w:pPr>
        <w:pStyle w:val="Heading2"/>
      </w:pPr>
      <w:r>
        <w:t xml:space="preserve">4. Equipment and Instrumentation</w:t>
      </w:r>
    </w:p>
    <w:p>
      <w:pPr>
        <w:pStyle w:val="FirstParagraph"/>
      </w:pPr>
      <w:r>
        <w:t xml:space="preserve">The</w:t>
      </w:r>
      <w:r>
        <w:t xml:space="preserve"> </w:t>
      </w:r>
      <w:r>
        <w:rPr>
          <w:bCs/>
          <w:b/>
        </w:rPr>
        <w:t xml:space="preserve">Aerospace Engineer</w:t>
      </w:r>
      <w:r>
        <w:t xml:space="preserve"> </w:t>
      </w:r>
      <w:r>
        <w:t xml:space="preserve">is required to use calibrated equipment. All sensors must be verified against international standards (ISO) before the start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w:t>
            </w:r>
          </w:p>
        </w:tc>
        <w:tc>
          <w:tcPr/>
          <w:p>
            <w:pPr>
              <w:pStyle w:val="Compact"/>
              <w:jc w:val="left"/>
            </w:pPr>
            <w:r>
              <w:t xml:space="preserve">Specification</w:t>
            </w:r>
          </w:p>
        </w:tc>
        <w:tc>
          <w:tcPr/>
          <w:p>
            <w:pPr>
              <w:pStyle w:val="Compact"/>
              <w:jc w:val="left"/>
            </w:pPr>
            <w:r>
              <w:t xml:space="preserve">Calibration Frequency</w:t>
            </w:r>
          </w:p>
        </w:tc>
      </w:tr>
      <w:tr>
        <w:tc>
          <w:tcPr/>
          <w:p>
            <w:pPr>
              <w:pStyle w:val="Compact"/>
              <w:jc w:val="left"/>
            </w:pPr>
            <w:r>
              <w:t xml:space="preserve">Wind Tunnel</w:t>
            </w:r>
          </w:p>
        </w:tc>
        <w:tc>
          <w:tcPr/>
          <w:p>
            <w:pPr>
              <w:pStyle w:val="Compact"/>
              <w:jc w:val="left"/>
            </w:pPr>
            <w:r>
              <w:t xml:space="preserve">Open-circuit, max velocity 40 m/s</w:t>
            </w:r>
          </w:p>
        </w:tc>
        <w:tc>
          <w:tcPr/>
          <w:p>
            <w:pPr>
              <w:pStyle w:val="Compact"/>
              <w:jc w:val="left"/>
            </w:pPr>
            <w:r>
              <w:t xml:space="preserve">Monthly</w:t>
            </w:r>
          </w:p>
        </w:tc>
      </w:tr>
      <w:tr>
        <w:tc>
          <w:tcPr/>
          <w:p>
            <w:pPr>
              <w:pStyle w:val="Compact"/>
              <w:jc w:val="left"/>
            </w:pPr>
            <w:r>
              <w:t xml:space="preserve">Force Balance</w:t>
            </w:r>
          </w:p>
        </w:tc>
        <w:tc>
          <w:tcPr/>
          <w:p>
            <w:pPr>
              <w:pStyle w:val="Compact"/>
              <w:jc w:val="left"/>
            </w:pPr>
            <w:r>
              <w:t xml:space="preserve">6-component, accuracy ±0.1%</w:t>
            </w:r>
          </w:p>
        </w:tc>
        <w:tc>
          <w:tcPr/>
          <w:p>
            <w:pPr>
              <w:pStyle w:val="Compact"/>
              <w:jc w:val="left"/>
            </w:pPr>
            <w:r>
              <w:t xml:space="preserve">Before each test session</w:t>
            </w:r>
          </w:p>
        </w:tc>
      </w:tr>
      <w:tr>
        <w:tc>
          <w:tcPr/>
          <w:p>
            <w:pPr>
              <w:pStyle w:val="Compact"/>
              <w:jc w:val="left"/>
            </w:pPr>
            <w:r>
              <w:t xml:space="preserve">Barometer</w:t>
            </w:r>
          </w:p>
        </w:tc>
        <w:tc>
          <w:tcPr/>
          <w:p>
            <w:pPr>
              <w:pStyle w:val="Compact"/>
              <w:jc w:val="left"/>
            </w:pPr>
            <w:r>
              <w:t xml:space="preserve">Digital, high-precision</w:t>
            </w:r>
          </w:p>
        </w:tc>
        <w:tc>
          <w:tcPr/>
          <w:p>
            <w:pPr>
              <w:pStyle w:val="Compact"/>
              <w:jc w:val="left"/>
            </w:pPr>
            <w:r>
              <w:t xml:space="preserve">Daily</w:t>
            </w:r>
          </w:p>
        </w:tc>
      </w:tr>
      <w:tr>
        <w:tc>
          <w:tcPr/>
          <w:p>
            <w:pPr>
              <w:pStyle w:val="Compact"/>
              <w:jc w:val="left"/>
            </w:pPr>
            <w:r>
              <w:t xml:space="preserve">Thermohygrometer</w:t>
            </w:r>
          </w:p>
        </w:tc>
        <w:tc>
          <w:tcPr/>
          <w:p>
            <w:pPr>
              <w:pStyle w:val="Compact"/>
              <w:jc w:val="left"/>
            </w:pPr>
            <w:r>
              <w:t xml:space="preserve">For ambient temp and humidity</w:t>
            </w:r>
          </w:p>
        </w:tc>
        <w:tc>
          <w:tcPr/>
          <w:p>
            <w:pPr>
              <w:pStyle w:val="Compact"/>
              <w:jc w:val="left"/>
            </w:pPr>
            <w:r>
              <w:t xml:space="preserve">Daily</w:t>
            </w:r>
          </w:p>
        </w:tc>
      </w:tr>
    </w:tbl>
    <w:bookmarkEnd w:id="23"/>
    <w:bookmarkStart w:id="27" w:name="experimental-procedure"/>
    <w:p>
      <w:pPr>
        <w:pStyle w:val="Heading2"/>
      </w:pPr>
      <w:r>
        <w:t xml:space="preserve">5. Experimental Procedure</w:t>
      </w:r>
    </w:p>
    <w:bookmarkStart w:id="24" w:name="pre-experiment-checks"/>
    <w:p>
      <w:pPr>
        <w:pStyle w:val="Heading3"/>
      </w:pPr>
      <w:r>
        <w:t xml:space="preserve">5.1 Pre-Experiment Checks</w:t>
      </w:r>
    </w:p>
    <w:p>
      <w:pPr>
        <w:pStyle w:val="FirstParagraph"/>
      </w:pPr>
      <w:r>
        <w:t xml:space="preserve">The</w:t>
      </w:r>
      <w:r>
        <w:t xml:space="preserve"> </w:t>
      </w:r>
      <w:r>
        <w:rPr>
          <w:bCs/>
          <w:b/>
        </w:rPr>
        <w:t xml:space="preserve">Aerospace Engineer</w:t>
      </w:r>
      <w:r>
        <w:t xml:space="preserve"> </w:t>
      </w:r>
      <w:r>
        <w:t xml:space="preserve">must perform the following checks in the</w:t>
      </w:r>
      <w:r>
        <w:t xml:space="preserve"> </w:t>
      </w:r>
      <w:r>
        <w:rPr>
          <w:bCs/>
          <w:b/>
        </w:rPr>
        <w:t xml:space="preserve">Nepal Kathmandu</w:t>
      </w:r>
      <w:r>
        <w:t xml:space="preserve"> </w:t>
      </w:r>
      <w:r>
        <w:t xml:space="preserve">facility:</w:t>
      </w:r>
    </w:p>
    <w:p>
      <w:pPr>
        <w:numPr>
          <w:ilvl w:val="0"/>
          <w:numId w:val="1003"/>
        </w:numPr>
        <w:pStyle w:val="Compact"/>
      </w:pPr>
      <w:r>
        <w:t xml:space="preserve">Verify power supply stability. Power fluctuations are common in Kathmandu; ensure UPS systems are active for all data acquisition units.</w:t>
      </w:r>
    </w:p>
    <w:p>
      <w:pPr>
        <w:numPr>
          <w:ilvl w:val="0"/>
          <w:numId w:val="1003"/>
        </w:numPr>
        <w:pStyle w:val="Compact"/>
      </w:pPr>
      <w:r>
        <w:t xml:space="preserve">Inspect the UAV model for any structural damage or loose components.</w:t>
      </w:r>
    </w:p>
    <w:p>
      <w:pPr>
        <w:numPr>
          <w:ilvl w:val="0"/>
          <w:numId w:val="1003"/>
        </w:numPr>
        <w:pStyle w:val="Compact"/>
      </w:pPr>
      <w:r>
        <w:t xml:space="preserve">Record ambient temperature, pressure, and humidity. These values are critical for correcting aerodynamic data.</w:t>
      </w:r>
    </w:p>
    <w:p>
      <w:pPr>
        <w:numPr>
          <w:ilvl w:val="0"/>
          <w:numId w:val="1003"/>
        </w:numPr>
        <w:pStyle w:val="Compact"/>
      </w:pPr>
      <w:r>
        <w:t xml:space="preserve">Ensure the wind tunnel test section is clear of debris.</w:t>
      </w:r>
    </w:p>
    <w:bookmarkEnd w:id="24"/>
    <w:bookmarkStart w:id="25" w:name="data-acquisition-protocol"/>
    <w:p>
      <w:pPr>
        <w:pStyle w:val="Heading3"/>
      </w:pPr>
      <w:r>
        <w:t xml:space="preserve">5.2 Data Acquisition Protocol</w:t>
      </w:r>
    </w:p>
    <w:p>
      <w:pPr>
        <w:pStyle w:val="FirstParagraph"/>
      </w:pPr>
      <w:r>
        <w:t xml:space="preserve">During the experiment, the</w:t>
      </w:r>
      <w:r>
        <w:t xml:space="preserve"> </w:t>
      </w:r>
      <w:r>
        <w:rPr>
          <w:bCs/>
          <w:b/>
        </w:rPr>
        <w:t xml:space="preserve">Aerospace Engineer</w:t>
      </w:r>
      <w:r>
        <w:t xml:space="preserve"> </w:t>
      </w:r>
      <w:r>
        <w:t xml:space="preserve">will vary the angle of attack (AoA) from -5 degrees to 20 degrees in increments of 2 degrees. For each AoA, the following data must be logged:</w:t>
      </w:r>
    </w:p>
    <w:p>
      <w:pPr>
        <w:numPr>
          <w:ilvl w:val="0"/>
          <w:numId w:val="1004"/>
        </w:numPr>
        <w:pStyle w:val="Compact"/>
      </w:pPr>
      <w:r>
        <w:t xml:space="preserve">Lift Force (N)</w:t>
      </w:r>
    </w:p>
    <w:p>
      <w:pPr>
        <w:numPr>
          <w:ilvl w:val="0"/>
          <w:numId w:val="1004"/>
        </w:numPr>
        <w:pStyle w:val="Compact"/>
      </w:pPr>
      <w:r>
        <w:t xml:space="preserve">Drag Force (N)</w:t>
      </w:r>
    </w:p>
    <w:p>
      <w:pPr>
        <w:numPr>
          <w:ilvl w:val="0"/>
          <w:numId w:val="1004"/>
        </w:numPr>
        <w:pStyle w:val="Compact"/>
      </w:pPr>
      <w:r>
        <w:t xml:space="preserve">Roll, Pitch, and Yaw Moments (Nm)</w:t>
      </w:r>
    </w:p>
    <w:p>
      <w:pPr>
        <w:numPr>
          <w:ilvl w:val="0"/>
          <w:numId w:val="1004"/>
        </w:numPr>
        <w:pStyle w:val="Compact"/>
      </w:pPr>
      <w:r>
        <w:t xml:space="preserve">Wind Speed (m/s)</w:t>
      </w:r>
    </w:p>
    <w:p>
      <w:pPr>
        <w:pStyle w:val="FirstParagraph"/>
      </w:pPr>
      <w:r>
        <w:t xml:space="preserve">Data sampling rate must be set to at least 100 Hz to capture transient turbulence effects typical of the Kathmandu Valley's airflow patterns.</w:t>
      </w:r>
    </w:p>
    <w:bookmarkEnd w:id="25"/>
    <w:bookmarkStart w:id="26" w:name="flight-testing-if-applicable"/>
    <w:p>
      <w:pPr>
        <w:pStyle w:val="Heading3"/>
      </w:pPr>
      <w:r>
        <w:t xml:space="preserve">5.3 Flight Testing (If Applicable)</w:t>
      </w:r>
    </w:p>
    <w:p>
      <w:pPr>
        <w:pStyle w:val="FirstParagraph"/>
      </w:pPr>
      <w:r>
        <w:t xml:space="preserve">If the experiment involves outdoor flight testing in</w:t>
      </w:r>
      <w:r>
        <w:t xml:space="preserve"> </w:t>
      </w:r>
      <w:r>
        <w:rPr>
          <w:bCs/>
          <w:b/>
        </w:rPr>
        <w:t xml:space="preserve">Nepal Kathmandu</w:t>
      </w:r>
      <w:r>
        <w:t xml:space="preserve">, the</w:t>
      </w:r>
      <w:r>
        <w:t xml:space="preserve"> </w:t>
      </w:r>
      <w:r>
        <w:rPr>
          <w:bCs/>
          <w:b/>
        </w:rPr>
        <w:t xml:space="preserve">Aerospace Engineer</w:t>
      </w:r>
      <w:r>
        <w:t xml:space="preserve"> </w:t>
      </w:r>
      <w:r>
        <w:t xml:space="preserve">must adhere to the following:</w:t>
      </w:r>
    </w:p>
    <w:p>
      <w:pPr>
        <w:numPr>
          <w:ilvl w:val="0"/>
          <w:numId w:val="1005"/>
        </w:numPr>
        <w:pStyle w:val="Compact"/>
      </w:pPr>
      <w:r>
        <w:t xml:space="preserve">Obtain necessary permits from the Department of Civil Aviation Nepal.</w:t>
      </w:r>
    </w:p>
    <w:p>
      <w:pPr>
        <w:numPr>
          <w:ilvl w:val="0"/>
          <w:numId w:val="1005"/>
        </w:numPr>
        <w:pStyle w:val="Compact"/>
      </w:pPr>
      <w:r>
        <w:t xml:space="preserve">Ensure the flight path avoids restricted airspace around Tribhuvan International Airport.</w:t>
      </w:r>
    </w:p>
    <w:p>
      <w:pPr>
        <w:numPr>
          <w:ilvl w:val="0"/>
          <w:numId w:val="1005"/>
        </w:numPr>
        <w:pStyle w:val="Compact"/>
      </w:pPr>
      <w:r>
        <w:t xml:space="preserve">Establish a visual line-of-sight (VLOS) corridor free of high-rise buildings and power lines.</w:t>
      </w:r>
    </w:p>
    <w:p>
      <w:pPr>
        <w:numPr>
          <w:ilvl w:val="0"/>
          <w:numId w:val="1005"/>
        </w:numPr>
        <w:pStyle w:val="Compact"/>
      </w:pPr>
      <w:r>
        <w:t xml:space="preserve">Implement a "Fail-Safe" Return-to-Home (RTH) protocol triggered by low battery or signal loss.</w:t>
      </w:r>
    </w:p>
    <w:bookmarkEnd w:id="26"/>
    <w:bookmarkEnd w:id="27"/>
    <w:bookmarkStart w:id="28" w:name="safety-protocols"/>
    <w:p>
      <w:pPr>
        <w:pStyle w:val="Heading2"/>
      </w:pPr>
      <w:r>
        <w:t xml:space="preserve">6. Safety Protocols</w:t>
      </w:r>
    </w:p>
    <w:p>
      <w:pPr>
        <w:pStyle w:val="FirstParagraph"/>
      </w:pPr>
      <w:r>
        <w:rPr>
          <w:bCs/>
          <w:b/>
        </w:rPr>
        <w:t xml:space="preserve">WARNING:</w:t>
      </w:r>
      <w:r>
        <w:t xml:space="preserve"> </w:t>
      </w:r>
      <w:r>
        <w:t xml:space="preserve">Safety is paramount. The</w:t>
      </w:r>
      <w:r>
        <w:t xml:space="preserve"> </w:t>
      </w:r>
      <w:r>
        <w:rPr>
          <w:bCs/>
          <w:b/>
        </w:rPr>
        <w:t xml:space="preserve">Aerospace Engineer</w:t>
      </w:r>
      <w:r>
        <w:t xml:space="preserve"> </w:t>
      </w:r>
      <w:r>
        <w:t xml:space="preserve">must enforce strict safety measures to protect personnel and the public in</w:t>
      </w:r>
      <w:r>
        <w:t xml:space="preserve"> </w:t>
      </w:r>
      <w:r>
        <w:rPr>
          <w:bCs/>
          <w:b/>
        </w:rPr>
        <w:t xml:space="preserve">Nepal Kathmandu</w:t>
      </w:r>
      <w:r>
        <w:t xml:space="preserve">.</w:t>
      </w:r>
    </w:p>
    <w:p>
      <w:pPr>
        <w:numPr>
          <w:ilvl w:val="0"/>
          <w:numId w:val="1006"/>
        </w:numPr>
        <w:pStyle w:val="Compact"/>
      </w:pPr>
      <w:r>
        <w:rPr>
          <w:bCs/>
          <w:b/>
        </w:rPr>
        <w:t xml:space="preserve">Personal Protective Equipment (PPE):</w:t>
      </w:r>
      <w:r>
        <w:t xml:space="preserve"> </w:t>
      </w:r>
      <w:r>
        <w:t xml:space="preserve">Safety glasses, hearing protection, and closed-toe shoes are mandatory in the testing area.</w:t>
      </w:r>
    </w:p>
    <w:p>
      <w:pPr>
        <w:numPr>
          <w:ilvl w:val="0"/>
          <w:numId w:val="1006"/>
        </w:numPr>
        <w:pStyle w:val="Compact"/>
      </w:pPr>
      <w:r>
        <w:rPr>
          <w:bCs/>
          <w:b/>
        </w:rPr>
        <w:t xml:space="preserve">Emergency Stop:</w:t>
      </w:r>
      <w:r>
        <w:t xml:space="preserve"> </w:t>
      </w:r>
      <w:r>
        <w:t xml:space="preserve">The location of the emergency stop button for the wind tunnel and propulsion systems must be clearly marked and accessible.</w:t>
      </w:r>
    </w:p>
    <w:p>
      <w:pPr>
        <w:numPr>
          <w:ilvl w:val="0"/>
          <w:numId w:val="1006"/>
        </w:numPr>
        <w:pStyle w:val="Compact"/>
      </w:pPr>
      <w:r>
        <w:rPr>
          <w:bCs/>
          <w:b/>
        </w:rPr>
        <w:t xml:space="preserve">Fire Safety:</w:t>
      </w:r>
      <w:r>
        <w:t xml:space="preserve"> </w:t>
      </w:r>
      <w:r>
        <w:t xml:space="preserve">Lithium-ion batteries used in UAVs pose a fire risk. A Class D fire extinguisher and a fire-resistant containment box must be present.</w:t>
      </w:r>
    </w:p>
    <w:p>
      <w:pPr>
        <w:numPr>
          <w:ilvl w:val="0"/>
          <w:numId w:val="1006"/>
        </w:numPr>
        <w:pStyle w:val="Compact"/>
      </w:pPr>
      <w:r>
        <w:rPr>
          <w:bCs/>
          <w:b/>
        </w:rPr>
        <w:t xml:space="preserve">Public Safety:</w:t>
      </w:r>
      <w:r>
        <w:t xml:space="preserve"> </w:t>
      </w:r>
      <w:r>
        <w:t xml:space="preserve">During outdoor tests, a perimeter must be established to prevent unauthorized access by the public.</w:t>
      </w:r>
    </w:p>
    <w:bookmarkEnd w:id="28"/>
    <w:bookmarkStart w:id="29" w:name="data-analysis-and-reporting"/>
    <w:p>
      <w:pPr>
        <w:pStyle w:val="Heading2"/>
      </w:pPr>
      <w:r>
        <w:t xml:space="preserve">7. Data Analysis and Reporting</w:t>
      </w:r>
    </w:p>
    <w:p>
      <w:pPr>
        <w:pStyle w:val="FirstParagraph"/>
      </w:pPr>
      <w:r>
        <w:t xml:space="preserve">Upon completion of the experiment, the</w:t>
      </w:r>
      <w:r>
        <w:t xml:space="preserve"> </w:t>
      </w:r>
      <w:r>
        <w:rPr>
          <w:bCs/>
          <w:b/>
        </w:rPr>
        <w:t xml:space="preserve">Aerospace Engineer</w:t>
      </w:r>
      <w:r>
        <w:t xml:space="preserve"> </w:t>
      </w:r>
      <w:r>
        <w:t xml:space="preserve">must analyze the data to determine the aerodynamic coefficients. The results should be compared with Computational Fluid Dynamics (CFD) simulations. Any discrepancies must be documented and investigated.</w:t>
      </w:r>
    </w:p>
    <w:p>
      <w:pPr>
        <w:pStyle w:val="BodyText"/>
      </w:pPr>
      <w:r>
        <w:t xml:space="preserve">The final report must include:</w:t>
      </w:r>
    </w:p>
    <w:p>
      <w:pPr>
        <w:numPr>
          <w:ilvl w:val="0"/>
          <w:numId w:val="1007"/>
        </w:numPr>
        <w:pStyle w:val="Compact"/>
      </w:pPr>
      <w:r>
        <w:t xml:space="preserve">Executive Summary.</w:t>
      </w:r>
    </w:p>
    <w:p>
      <w:pPr>
        <w:numPr>
          <w:ilvl w:val="0"/>
          <w:numId w:val="1007"/>
        </w:numPr>
        <w:pStyle w:val="Compact"/>
      </w:pPr>
      <w:r>
        <w:t xml:space="preserve">Methodology and Environmental Conditions in</w:t>
      </w:r>
      <w:r>
        <w:t xml:space="preserve"> </w:t>
      </w:r>
      <w:r>
        <w:rPr>
          <w:bCs/>
          <w:b/>
        </w:rPr>
        <w:t xml:space="preserve">Nepal Kathmandu</w:t>
      </w:r>
      <w:r>
        <w:t xml:space="preserve">.</w:t>
      </w:r>
    </w:p>
    <w:p>
      <w:pPr>
        <w:numPr>
          <w:ilvl w:val="0"/>
          <w:numId w:val="1007"/>
        </w:numPr>
        <w:pStyle w:val="Compact"/>
      </w:pPr>
      <w:r>
        <w:t xml:space="preserve">Raw Data and Processed Results.</w:t>
      </w:r>
    </w:p>
    <w:p>
      <w:pPr>
        <w:numPr>
          <w:ilvl w:val="0"/>
          <w:numId w:val="1007"/>
        </w:numPr>
        <w:pStyle w:val="Compact"/>
      </w:pPr>
      <w:r>
        <w:t xml:space="preserve">Error Analysis.</w:t>
      </w:r>
    </w:p>
    <w:p>
      <w:pPr>
        <w:numPr>
          <w:ilvl w:val="0"/>
          <w:numId w:val="1007"/>
        </w:numPr>
        <w:pStyle w:val="Compact"/>
      </w:pPr>
      <w:r>
        <w:t xml:space="preserve">Recommendations for Design Improvements.</w:t>
      </w:r>
    </w:p>
    <w:bookmarkEnd w:id="29"/>
    <w:bookmarkStart w:id="30" w:name="conclusion"/>
    <w:p>
      <w:pPr>
        <w:pStyle w:val="Heading2"/>
      </w:pPr>
      <w:r>
        <w:t xml:space="preserve">8. Conclusion</w:t>
      </w:r>
    </w:p>
    <w:p>
      <w:pPr>
        <w:pStyle w:val="FirstParagraph"/>
      </w:pPr>
      <w:r>
        <w:t xml:space="preserve">This Experiment Protocol provides a comprehensive framework for the</w:t>
      </w:r>
      <w:r>
        <w:t xml:space="preserve"> </w:t>
      </w:r>
      <w:r>
        <w:rPr>
          <w:bCs/>
          <w:b/>
        </w:rPr>
        <w:t xml:space="preserve">Aerospace Engineer</w:t>
      </w:r>
      <w:r>
        <w:t xml:space="preserve"> </w:t>
      </w:r>
      <w:r>
        <w:t xml:space="preserve">to conduct rigorous and safe testing in</w:t>
      </w:r>
      <w:r>
        <w:t xml:space="preserve"> </w:t>
      </w:r>
      <w:r>
        <w:rPr>
          <w:bCs/>
          <w:b/>
        </w:rPr>
        <w:t xml:space="preserve">Nepal Kathmandu</w:t>
      </w:r>
      <w:r>
        <w:t xml:space="preserve">. By adhering to these guidelines, engineers can ensure that aerospace technologies developed in Nepal are robust, reliable, and capable of operating effectively in the challenging Himalayan environment. Continuous improvement of this protocol is encouraged as new technologies and local conditions evolve.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in Nepal Kathmandu</dc:title>
  <dc:creator/>
  <dc:language>en</dc:language>
  <cp:keywords/>
  <dcterms:created xsi:type="dcterms:W3CDTF">2026-10-10T03:56:44Z</dcterms:created>
  <dcterms:modified xsi:type="dcterms:W3CDTF">2026-10-10T03:56:44Z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