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99b58af04f0518075893310f08f96cc6a2b9c3c"/>
    <w:p>
      <w:pPr>
        <w:pStyle w:val="Heading1"/>
      </w:pPr>
      <w:r>
        <w:t xml:space="preserve">Experiment Protocol: Aerospace Engineering Research in Qatar Doha</w:t>
      </w:r>
    </w:p>
    <w:p>
      <w:pPr>
        <w:pStyle w:val="FirstParagraph"/>
      </w:pPr>
      <w:r>
        <w:rPr>
          <w:bCs/>
          <w:b/>
        </w:rPr>
        <w:t xml:space="preserve">Document ID:</w:t>
      </w:r>
      <w:r>
        <w:t xml:space="preserve"> </w:t>
      </w:r>
      <w:r>
        <w:t xml:space="preserve">AE-QA-2023-001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Qatar Doha</w:t>
      </w:r>
    </w:p>
    <w:p>
      <w:pPr>
        <w:pStyle w:val="BodyText"/>
      </w:pPr>
      <w:r>
        <w:rPr>
          <w:bCs/>
          <w:b/>
        </w:rPr>
        <w:t xml:space="preserve">Prepared by:</w:t>
      </w:r>
      <w:r>
        <w:t xml:space="preserve"> </w:t>
      </w:r>
      <w:r>
        <w:t xml:space="preserve">Aerospace Engineering Research Team</w:t>
      </w:r>
    </w:p>
    <w:bookmarkEnd w:id="20"/>
    <w:p>
      <w:pPr>
        <w:pStyle w:val="BodyText"/>
      </w:pPr>
      <w:r>
        <w:t xml:space="preserve">1. Introduction</w:t>
      </w:r>
    </w:p>
    <w:p>
      <w:pPr>
        <w:pStyle w:val="BodyText"/>
      </w:pPr>
      <w:r>
        <w:t xml:space="preserve">This Experiment Protocol outlines the procedures, methodologies, and safety guidelines for conducting aerospace engineering research in Qatar Doha. The primary objective is to advance aerospace technologies while adhering to international standards and local regulations. This document is designed to ensure consistency, accuracy, and safety in all experimental activities.</w:t>
      </w:r>
    </w:p>
    <w:p>
      <w:pPr>
        <w:pStyle w:val="BodyText"/>
      </w:pPr>
      <w:r>
        <w:t xml:space="preserve">2. Objectives</w:t>
      </w:r>
    </w:p>
    <w:p>
      <w:pPr>
        <w:pStyle w:val="BodyText"/>
      </w:pPr>
      <w:r>
        <w:t xml:space="preserve">The key objectives of this experiment protocol are:</w:t>
      </w:r>
    </w:p>
    <w:p>
      <w:pPr>
        <w:numPr>
          <w:ilvl w:val="0"/>
          <w:numId w:val="1001"/>
        </w:numPr>
        <w:pStyle w:val="Compact"/>
      </w:pPr>
      <w:r>
        <w:t xml:space="preserve">To develop and test advanced aerospace materials and components.</w:t>
      </w:r>
    </w:p>
    <w:p>
      <w:pPr>
        <w:numPr>
          <w:ilvl w:val="0"/>
          <w:numId w:val="1001"/>
        </w:numPr>
        <w:pStyle w:val="Compact"/>
      </w:pPr>
      <w:r>
        <w:t xml:space="preserve">To evaluate the performance of aerospace systems under conditions relevant to Qatar Doha's environment.</w:t>
      </w:r>
    </w:p>
    <w:p>
      <w:pPr>
        <w:numPr>
          <w:ilvl w:val="0"/>
          <w:numId w:val="1001"/>
        </w:numPr>
        <w:pStyle w:val="Compact"/>
      </w:pPr>
      <w:r>
        <w:t xml:space="preserve">To contribute to the growth of aerospace engineering expertise in Qatar.</w:t>
      </w:r>
    </w:p>
    <w:p>
      <w:pPr>
        <w:numPr>
          <w:ilvl w:val="0"/>
          <w:numId w:val="1001"/>
        </w:numPr>
        <w:pStyle w:val="Compact"/>
      </w:pPr>
      <w:r>
        <w:t xml:space="preserve">To ensure compliance with safety and regulatory standards.</w:t>
      </w:r>
    </w:p>
    <w:p>
      <w:pPr>
        <w:pStyle w:val="FirstParagraph"/>
      </w:pPr>
      <w:r>
        <w:t xml:space="preserve">3. Scope</w:t>
      </w:r>
    </w:p>
    <w:p>
      <w:pPr>
        <w:pStyle w:val="BodyText"/>
      </w:pPr>
      <w:r>
        <w:t xml:space="preserve">This protocol applies to all aerospace engineering experiments conducted in Qatar Doha, including but not limited to:</w:t>
      </w:r>
    </w:p>
    <w:p>
      <w:pPr>
        <w:numPr>
          <w:ilvl w:val="0"/>
          <w:numId w:val="1002"/>
        </w:numPr>
        <w:pStyle w:val="Compact"/>
      </w:pPr>
      <w:r>
        <w:t xml:space="preserve">Wind tunnel testing.</w:t>
      </w:r>
    </w:p>
    <w:p>
      <w:pPr>
        <w:numPr>
          <w:ilvl w:val="0"/>
          <w:numId w:val="1002"/>
        </w:numPr>
        <w:pStyle w:val="Compact"/>
      </w:pPr>
      <w:r>
        <w:t xml:space="preserve">Material stress and fatigue analysis.</w:t>
      </w:r>
    </w:p>
    <w:p>
      <w:pPr>
        <w:numPr>
          <w:ilvl w:val="0"/>
          <w:numId w:val="1002"/>
        </w:numPr>
        <w:pStyle w:val="Compact"/>
      </w:pPr>
      <w:r>
        <w:t xml:space="preserve">Aerodynamic simulations.</w:t>
      </w:r>
    </w:p>
    <w:p>
      <w:pPr>
        <w:numPr>
          <w:ilvl w:val="0"/>
          <w:numId w:val="1002"/>
        </w:numPr>
        <w:pStyle w:val="Compact"/>
      </w:pPr>
      <w:r>
        <w:t xml:space="preserve">Propulsion system evaluations.</w:t>
      </w:r>
    </w:p>
    <w:p>
      <w:pPr>
        <w:pStyle w:val="FirstParagraph"/>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experiment, ensure compliance with the protocol, and report findings.</w:t>
            </w:r>
          </w:p>
        </w:tc>
      </w:tr>
      <w:tr>
        <w:tc>
          <w:tcPr/>
          <w:p>
            <w:pPr>
              <w:pStyle w:val="Compact"/>
              <w:jc w:val="left"/>
            </w:pPr>
            <w:r>
              <w:t xml:space="preserve">Aerospace Engineer</w:t>
            </w:r>
          </w:p>
        </w:tc>
        <w:tc>
          <w:tcPr/>
          <w:p>
            <w:pPr>
              <w:pStyle w:val="Compact"/>
              <w:jc w:val="left"/>
            </w:pPr>
            <w:r>
              <w:t xml:space="preserve">Design and execute experiments, analyze data, and maintain equipment.</w:t>
            </w:r>
          </w:p>
        </w:tc>
      </w:tr>
      <w:tr>
        <w:tc>
          <w:tcPr/>
          <w:p>
            <w:pPr>
              <w:pStyle w:val="Compact"/>
              <w:jc w:val="left"/>
            </w:pPr>
            <w:r>
              <w:t xml:space="preserve">Safety Officer</w:t>
            </w:r>
          </w:p>
        </w:tc>
        <w:tc>
          <w:tcPr/>
          <w:p>
            <w:pPr>
              <w:pStyle w:val="Compact"/>
              <w:jc w:val="left"/>
            </w:pPr>
            <w:r>
              <w:t xml:space="preserve">Monitor safety protocols, conduct risk assessments, and address hazards.</w:t>
            </w:r>
          </w:p>
        </w:tc>
      </w:tr>
      <w:tr>
        <w:tc>
          <w:tcPr/>
          <w:p>
            <w:pPr>
              <w:pStyle w:val="Compact"/>
              <w:jc w:val="left"/>
            </w:pPr>
            <w:r>
              <w:t xml:space="preserve">Regulatory Liaison</w:t>
            </w:r>
          </w:p>
        </w:tc>
        <w:tc>
          <w:tcPr/>
          <w:p>
            <w:pPr>
              <w:pStyle w:val="Compact"/>
              <w:jc w:val="left"/>
            </w:pPr>
            <w:r>
              <w:t xml:space="preserve">Ensure adherence to local and international regulations in Qatar Doha.</w:t>
            </w:r>
          </w:p>
        </w:tc>
      </w:tr>
    </w:tbl>
    <w:p>
      <w:pPr>
        <w:pStyle w:val="BodyText"/>
      </w:pPr>
      <w:r>
        <w:t xml:space="preserve">5. Experimental Procedures</w:t>
      </w:r>
    </w:p>
    <w:p>
      <w:pPr>
        <w:pStyle w:val="BodyText"/>
      </w:pPr>
      <w:r>
        <w:t xml:space="preserve">All experiments must follow the steps outlined below:</w:t>
      </w:r>
    </w:p>
    <w:p>
      <w:pPr>
        <w:numPr>
          <w:ilvl w:val="0"/>
          <w:numId w:val="1003"/>
        </w:numPr>
        <w:pStyle w:val="Compact"/>
      </w:pPr>
      <w:r>
        <w:rPr>
          <w:bCs/>
          <w:b/>
        </w:rPr>
        <w:t xml:space="preserve">Preparation:</w:t>
      </w:r>
      <w:r>
        <w:t xml:space="preserve"> </w:t>
      </w:r>
      <w:r>
        <w:t xml:space="preserve">Review the experiment plan, gather materials, and calibrate equipment.</w:t>
      </w:r>
    </w:p>
    <w:p>
      <w:pPr>
        <w:numPr>
          <w:ilvl w:val="0"/>
          <w:numId w:val="1003"/>
        </w:numPr>
        <w:pStyle w:val="Compact"/>
      </w:pPr>
      <w:r>
        <w:rPr>
          <w:bCs/>
          <w:b/>
        </w:rPr>
        <w:t xml:space="preserve">Setup:</w:t>
      </w:r>
      <w:r>
        <w:t xml:space="preserve"> </w:t>
      </w:r>
      <w:r>
        <w:t xml:space="preserve">Configure the experimental environment according to the design specifications.</w:t>
      </w:r>
    </w:p>
    <w:p>
      <w:pPr>
        <w:numPr>
          <w:ilvl w:val="0"/>
          <w:numId w:val="1003"/>
        </w:numPr>
        <w:pStyle w:val="Compact"/>
      </w:pPr>
      <w:r>
        <w:rPr>
          <w:bCs/>
          <w:b/>
        </w:rPr>
        <w:t xml:space="preserve">Execution:</w:t>
      </w:r>
      <w:r>
        <w:t xml:space="preserve"> </w:t>
      </w:r>
      <w:r>
        <w:t xml:space="preserve">Conduct the experiment while recording all relevant data.</w:t>
      </w:r>
    </w:p>
    <w:p>
      <w:pPr>
        <w:numPr>
          <w:ilvl w:val="0"/>
          <w:numId w:val="1003"/>
        </w:numPr>
        <w:pStyle w:val="Compact"/>
      </w:pPr>
      <w:r>
        <w:rPr>
          <w:bCs/>
          <w:b/>
        </w:rPr>
        <w:t xml:space="preserve">Analysis:</w:t>
      </w:r>
      <w:r>
        <w:t xml:space="preserve"> </w:t>
      </w:r>
      <w:r>
        <w:t xml:space="preserve">Process and analyze the data to draw conclusions.</w:t>
      </w:r>
    </w:p>
    <w:p>
      <w:pPr>
        <w:numPr>
          <w:ilvl w:val="0"/>
          <w:numId w:val="1003"/>
        </w:numPr>
        <w:pStyle w:val="Compact"/>
      </w:pPr>
      <w:r>
        <w:rPr>
          <w:bCs/>
          <w:b/>
        </w:rPr>
        <w:t xml:space="preserve">Reporting:</w:t>
      </w:r>
      <w:r>
        <w:t xml:space="preserve"> </w:t>
      </w:r>
      <w:r>
        <w:t xml:space="preserve">Document the results and submit a report to the Principal Investigator.</w:t>
      </w:r>
    </w:p>
    <w:p>
      <w:pPr>
        <w:pStyle w:val="FirstParagraph"/>
      </w:pPr>
      <w:r>
        <w:t xml:space="preserve">6. Safety Guidelines</w:t>
      </w:r>
    </w:p>
    <w:p>
      <w:pPr>
        <w:pStyle w:val="BodyText"/>
      </w:pPr>
      <w:r>
        <w:t xml:space="preserve">Safety is a top priority in all aerospace engineering experiments. The following guidelines must be strictly followed:</w:t>
      </w:r>
    </w:p>
    <w:p>
      <w:pPr>
        <w:numPr>
          <w:ilvl w:val="0"/>
          <w:numId w:val="1004"/>
        </w:numPr>
        <w:pStyle w:val="Compact"/>
      </w:pPr>
      <w:r>
        <w:t xml:space="preserve">Wear appropriate personal protective equipment (PPE) at all times.</w:t>
      </w:r>
    </w:p>
    <w:p>
      <w:pPr>
        <w:numPr>
          <w:ilvl w:val="0"/>
          <w:numId w:val="1004"/>
        </w:numPr>
        <w:pStyle w:val="Compact"/>
      </w:pPr>
      <w:r>
        <w:t xml:space="preserve">Ensure all equipment is inspected and certified before use.</w:t>
      </w:r>
    </w:p>
    <w:p>
      <w:pPr>
        <w:numPr>
          <w:ilvl w:val="0"/>
          <w:numId w:val="1004"/>
        </w:numPr>
        <w:pStyle w:val="Compact"/>
      </w:pPr>
      <w:r>
        <w:t xml:space="preserve">Follow emergency procedures in case of accidents or malfunctions.</w:t>
      </w:r>
    </w:p>
    <w:p>
      <w:pPr>
        <w:numPr>
          <w:ilvl w:val="0"/>
          <w:numId w:val="1004"/>
        </w:numPr>
        <w:pStyle w:val="Compact"/>
      </w:pPr>
      <w:r>
        <w:t xml:space="preserve">Report any safety concerns to the Safety Officer immediately.</w:t>
      </w:r>
    </w:p>
    <w:p>
      <w:pPr>
        <w:pStyle w:val="FirstParagraph"/>
      </w:pPr>
      <w:r>
        <w:t xml:space="preserve">7. Environmental Considerations</w:t>
      </w:r>
    </w:p>
    <w:p>
      <w:pPr>
        <w:pStyle w:val="BodyText"/>
      </w:pPr>
      <w:r>
        <w:t xml:space="preserve">Experiments conducted in Qatar Doha must account for the local environmental conditions, including high temperatures and humidity. Special attention should be given to:</w:t>
      </w:r>
    </w:p>
    <w:p>
      <w:pPr>
        <w:numPr>
          <w:ilvl w:val="0"/>
          <w:numId w:val="1005"/>
        </w:numPr>
        <w:pStyle w:val="Compact"/>
      </w:pPr>
      <w:r>
        <w:t xml:space="preserve">Thermal management of equipment and materials.</w:t>
      </w:r>
    </w:p>
    <w:p>
      <w:pPr>
        <w:numPr>
          <w:ilvl w:val="0"/>
          <w:numId w:val="1005"/>
        </w:numPr>
        <w:pStyle w:val="Compact"/>
      </w:pPr>
      <w:r>
        <w:t xml:space="preserve">Humidity control in sensitive testing environments.</w:t>
      </w:r>
    </w:p>
    <w:p>
      <w:pPr>
        <w:numPr>
          <w:ilvl w:val="0"/>
          <w:numId w:val="1005"/>
        </w:numPr>
        <w:pStyle w:val="Compact"/>
      </w:pPr>
      <w:r>
        <w:t xml:space="preserve">Minimizing the environmental impact of experimental activities.</w:t>
      </w:r>
    </w:p>
    <w:p>
      <w:pPr>
        <w:pStyle w:val="FirstParagraph"/>
      </w:pPr>
      <w:r>
        <w:t xml:space="preserve">8. Data Management</w:t>
      </w:r>
    </w:p>
    <w:p>
      <w:pPr>
        <w:pStyle w:val="BodyText"/>
      </w:pPr>
      <w:r>
        <w:t xml:space="preserve">All data collected during experiments must be stored securely and managed according to the following guidelines:</w:t>
      </w:r>
    </w:p>
    <w:p>
      <w:pPr>
        <w:numPr>
          <w:ilvl w:val="0"/>
          <w:numId w:val="1006"/>
        </w:numPr>
        <w:pStyle w:val="Compact"/>
      </w:pPr>
      <w:r>
        <w:t xml:space="preserve">Use standardized formats for data recording.</w:t>
      </w:r>
    </w:p>
    <w:p>
      <w:pPr>
        <w:numPr>
          <w:ilvl w:val="0"/>
          <w:numId w:val="1006"/>
        </w:numPr>
        <w:pStyle w:val="Compact"/>
      </w:pPr>
      <w:r>
        <w:t xml:space="preserve">Back up data regularly to prevent loss.</w:t>
      </w:r>
    </w:p>
    <w:p>
      <w:pPr>
        <w:numPr>
          <w:ilvl w:val="0"/>
          <w:numId w:val="1006"/>
        </w:numPr>
        <w:pStyle w:val="Compact"/>
      </w:pPr>
      <w:r>
        <w:t xml:space="preserve">Ensure data confidentiality and compliance with privacy regulations.</w:t>
      </w:r>
    </w:p>
    <w:p>
      <w:pPr>
        <w:pStyle w:val="FirstParagraph"/>
      </w:pPr>
      <w:r>
        <w:t xml:space="preserve">9. Quality Assurance</w:t>
      </w:r>
    </w:p>
    <w:p>
      <w:pPr>
        <w:pStyle w:val="BodyText"/>
      </w:pPr>
      <w:r>
        <w:t xml:space="preserve">To ensure the reliability and validity of experimental results, the following quality assurance measures will be implemented:</w:t>
      </w:r>
    </w:p>
    <w:p>
      <w:pPr>
        <w:numPr>
          <w:ilvl w:val="0"/>
          <w:numId w:val="1007"/>
        </w:numPr>
        <w:pStyle w:val="Compact"/>
      </w:pPr>
      <w:r>
        <w:t xml:space="preserve">Regular calibration of instruments and equipment.</w:t>
      </w:r>
    </w:p>
    <w:p>
      <w:pPr>
        <w:numPr>
          <w:ilvl w:val="0"/>
          <w:numId w:val="1007"/>
        </w:numPr>
        <w:pStyle w:val="Compact"/>
      </w:pPr>
      <w:r>
        <w:t xml:space="preserve">Peer review of experimental designs and results.</w:t>
      </w:r>
    </w:p>
    <w:p>
      <w:pPr>
        <w:numPr>
          <w:ilvl w:val="0"/>
          <w:numId w:val="1007"/>
        </w:numPr>
        <w:pStyle w:val="Compact"/>
      </w:pPr>
      <w:r>
        <w:t xml:space="preserve">Adherence to international aerospace engineering standards.</w:t>
      </w:r>
    </w:p>
    <w:p>
      <w:pPr>
        <w:pStyle w:val="FirstParagraph"/>
      </w:pPr>
      <w:r>
        <w:t xml:space="preserve">10. Conclusion</w:t>
      </w:r>
    </w:p>
    <w:p>
      <w:pPr>
        <w:pStyle w:val="BodyText"/>
      </w:pPr>
      <w:r>
        <w:t xml:space="preserve">This Experiment Protocol provides a comprehensive framework for conducting aerospace engineering research in Qatar Doha. By following these guidelines, the research team can achieve its objectives while maintaining the highest standards of safety, quality, and compliance. This document will be reviewed and updated regularly to reflect advancements in aerospace engineering and changes in regulatory requirements.</w:t>
      </w:r>
    </w:p>
    <w:p>
      <w:pPr>
        <w:pStyle w:val="BodyText"/>
      </w:pPr>
      <w:r>
        <w:rPr>
          <w:bCs/>
          <w:b/>
        </w:rPr>
        <w:t xml:space="preserve">End of Document</w:t>
      </w:r>
    </w:p>
    <w:p>
      <w:pPr>
        <w:pStyle w:val="BodyText"/>
      </w:pPr>
      <w:r>
        <w:t xml:space="preserve">For questions or clarifications, contact the Principal Investigator or the Regulatory Liaison.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Qatar Doha</dc:title>
  <dc:creator/>
  <dc:language>en</dc:language>
  <cp:keywords/>
  <dcterms:created xsi:type="dcterms:W3CDTF">2026-10-10T00:25:51Z</dcterms:created>
  <dcterms:modified xsi:type="dcterms:W3CDTF">2026-10-10T00:25:51Z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