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Thailand</w:t>
      </w:r>
      <w:r>
        <w:t xml:space="preserve"> </w:t>
      </w:r>
      <w:r>
        <w:t xml:space="preserve">Bangkok</w:t>
      </w:r>
    </w:p>
    <w:bookmarkStart w:id="35" w:name="Xc2577aa5a3a924925c8a672f0de153ceaa64ca5"/>
    <w:p>
      <w:pPr>
        <w:pStyle w:val="Heading1"/>
      </w:pPr>
      <w:r>
        <w:t xml:space="preserve">Experiment Protocol: Aerospace Engineer - Thailand Bangkok</w:t>
      </w:r>
    </w:p>
    <w:p>
      <w:pPr>
        <w:pStyle w:val="FirstParagraph"/>
      </w:pPr>
      <w:r>
        <w:rPr>
          <w:bCs/>
          <w:b/>
        </w:rPr>
        <w:t xml:space="preserve">Document ID:</w:t>
      </w:r>
      <w:r>
        <w:t xml:space="preserve"> </w:t>
      </w:r>
      <w:r>
        <w:t xml:space="preserve">AP-TH-BKK-2024-001</w:t>
      </w:r>
    </w:p>
    <w:p>
      <w:pPr>
        <w:pStyle w:val="BodyText"/>
      </w:pPr>
      <w:r>
        <w:rPr>
          <w:bCs/>
          <w:b/>
        </w:rPr>
        <w:t xml:space="preserve">Location:</w:t>
      </w:r>
      <w:r>
        <w:t xml:space="preserve"> </w:t>
      </w:r>
      <w:r>
        <w:t xml:space="preserve">Bangkok, Thailand</w:t>
      </w:r>
    </w:p>
    <w:p>
      <w:pPr>
        <w:pStyle w:val="BodyText"/>
      </w:pPr>
      <w:r>
        <w:rPr>
          <w:bCs/>
          <w:b/>
        </w:rPr>
        <w:t xml:space="preserve">Discipline:</w:t>
      </w:r>
      <w:r>
        <w:t xml:space="preserve"> </w:t>
      </w:r>
      <w:r>
        <w:t xml:space="preserve">Aerospace Engineering</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safety measures, and technical requirements for conducting aerospace engineering experiments in Bangkok, Thailand. The protocol is designed to ensure that all activities comply with international aerospace standards while addressing the unique environmental and regulatory conditions of Thailand. The primary objective is to provide a structured framework for aerospace engineers to conduct experiments related to aerodynamics, propulsion, materials testing, and avionics in a controlled and safe manner.</w:t>
      </w:r>
    </w:p>
    <w:bookmarkEnd w:id="20"/>
    <w:bookmarkStart w:id="21" w:name="scope"/>
    <w:p>
      <w:pPr>
        <w:pStyle w:val="Heading2"/>
      </w:pPr>
      <w:r>
        <w:t xml:space="preserve">2. Scope</w:t>
      </w:r>
    </w:p>
    <w:p>
      <w:pPr>
        <w:pStyle w:val="FirstParagraph"/>
      </w:pPr>
      <w:r>
        <w:t xml:space="preserve">This protocol applies to all aerospace engineering experiments conducted in Bangkok, Thailand, including but not limited to:</w:t>
      </w:r>
    </w:p>
    <w:p>
      <w:pPr>
        <w:numPr>
          <w:ilvl w:val="0"/>
          <w:numId w:val="1001"/>
        </w:numPr>
        <w:pStyle w:val="Compact"/>
      </w:pPr>
      <w:r>
        <w:t xml:space="preserve">Aerodynamic testing of aircraft components</w:t>
      </w:r>
    </w:p>
    <w:p>
      <w:pPr>
        <w:numPr>
          <w:ilvl w:val="0"/>
          <w:numId w:val="1001"/>
        </w:numPr>
        <w:pStyle w:val="Compact"/>
      </w:pPr>
      <w:r>
        <w:t xml:space="preserve">Propulsion system evaluations</w:t>
      </w:r>
    </w:p>
    <w:p>
      <w:pPr>
        <w:numPr>
          <w:ilvl w:val="0"/>
          <w:numId w:val="1001"/>
        </w:numPr>
        <w:pStyle w:val="Compact"/>
      </w:pPr>
      <w:r>
        <w:t xml:space="preserve">Materials testing under tropical conditions</w:t>
      </w:r>
    </w:p>
    <w:p>
      <w:pPr>
        <w:numPr>
          <w:ilvl w:val="0"/>
          <w:numId w:val="1001"/>
        </w:numPr>
        <w:pStyle w:val="Compact"/>
      </w:pPr>
      <w:r>
        <w:t xml:space="preserve">Avionics and communication system validations</w:t>
      </w:r>
    </w:p>
    <w:p>
      <w:pPr>
        <w:numPr>
          <w:ilvl w:val="0"/>
          <w:numId w:val="1001"/>
        </w:numPr>
        <w:pStyle w:val="Compact"/>
      </w:pPr>
      <w:r>
        <w:t xml:space="preserve">Environmental impact assessments</w:t>
      </w:r>
    </w:p>
    <w:p>
      <w:pPr>
        <w:pStyle w:val="FirstParagraph"/>
      </w:pPr>
      <w:r>
        <w:t xml:space="preserve">All experiments must be conducted in accordance with Thai regulations, international aerospace standards (e.g., ISO, ASTM), and organizational safety policies.</w:t>
      </w:r>
    </w:p>
    <w:bookmarkEnd w:id="21"/>
    <w:bookmarkStart w:id="25" w:name="responsibilities"/>
    <w:p>
      <w:pPr>
        <w:pStyle w:val="Heading2"/>
      </w:pPr>
      <w:r>
        <w:t xml:space="preserve">3. Responsibilities</w:t>
      </w:r>
    </w:p>
    <w:bookmarkStart w:id="22" w:name="aerospace-engineer"/>
    <w:p>
      <w:pPr>
        <w:pStyle w:val="Heading3"/>
      </w:pPr>
      <w:r>
        <w:t xml:space="preserve">3.1 Aerospace Engineer</w:t>
      </w:r>
    </w:p>
    <w:p>
      <w:pPr>
        <w:pStyle w:val="FirstParagraph"/>
      </w:pPr>
      <w:r>
        <w:t xml:space="preserve">The Aerospace Engineer is responsible for:</w:t>
      </w:r>
    </w:p>
    <w:p>
      <w:pPr>
        <w:numPr>
          <w:ilvl w:val="0"/>
          <w:numId w:val="1002"/>
        </w:numPr>
        <w:pStyle w:val="Compact"/>
      </w:pPr>
      <w:r>
        <w:t xml:space="preserve">Designing and planning the experiment</w:t>
      </w:r>
    </w:p>
    <w:p>
      <w:pPr>
        <w:numPr>
          <w:ilvl w:val="0"/>
          <w:numId w:val="1002"/>
        </w:numPr>
        <w:pStyle w:val="Compact"/>
      </w:pPr>
      <w:r>
        <w:t xml:space="preserve">Ensuring compliance with this protocol</w:t>
      </w:r>
    </w:p>
    <w:p>
      <w:pPr>
        <w:numPr>
          <w:ilvl w:val="0"/>
          <w:numId w:val="1002"/>
        </w:numPr>
        <w:pStyle w:val="Compact"/>
      </w:pPr>
      <w:r>
        <w:t xml:space="preserve">Conducting risk assessments</w:t>
      </w:r>
    </w:p>
    <w:p>
      <w:pPr>
        <w:numPr>
          <w:ilvl w:val="0"/>
          <w:numId w:val="1002"/>
        </w:numPr>
        <w:pStyle w:val="Compact"/>
      </w:pPr>
      <w:r>
        <w:t xml:space="preserve">Documenting all procedures and results</w:t>
      </w:r>
    </w:p>
    <w:p>
      <w:pPr>
        <w:numPr>
          <w:ilvl w:val="0"/>
          <w:numId w:val="1002"/>
        </w:numPr>
        <w:pStyle w:val="Compact"/>
      </w:pPr>
      <w:r>
        <w:t xml:space="preserve">Implementing safety measures</w:t>
      </w:r>
    </w:p>
    <w:bookmarkEnd w:id="22"/>
    <w:bookmarkStart w:id="23" w:name="safety-officer"/>
    <w:p>
      <w:pPr>
        <w:pStyle w:val="Heading3"/>
      </w:pPr>
      <w:r>
        <w:t xml:space="preserve">3.2 Safety Officer</w:t>
      </w:r>
    </w:p>
    <w:p>
      <w:pPr>
        <w:pStyle w:val="FirstParagraph"/>
      </w:pPr>
      <w:r>
        <w:t xml:space="preserve">The Safety Officer is responsible for:</w:t>
      </w:r>
    </w:p>
    <w:p>
      <w:pPr>
        <w:numPr>
          <w:ilvl w:val="0"/>
          <w:numId w:val="1003"/>
        </w:numPr>
        <w:pStyle w:val="Compact"/>
      </w:pPr>
      <w:r>
        <w:t xml:space="preserve">Reviewing and approving safety plans</w:t>
      </w:r>
    </w:p>
    <w:p>
      <w:pPr>
        <w:numPr>
          <w:ilvl w:val="0"/>
          <w:numId w:val="1003"/>
        </w:numPr>
        <w:pStyle w:val="Compact"/>
      </w:pPr>
      <w:r>
        <w:t xml:space="preserve">Conducting regular safety inspections</w:t>
      </w:r>
    </w:p>
    <w:p>
      <w:pPr>
        <w:numPr>
          <w:ilvl w:val="0"/>
          <w:numId w:val="1003"/>
        </w:numPr>
        <w:pStyle w:val="Compact"/>
      </w:pPr>
      <w:r>
        <w:t xml:space="preserve">Ensuring emergency procedures are in place</w:t>
      </w:r>
    </w:p>
    <w:bookmarkEnd w:id="23"/>
    <w:bookmarkStart w:id="24" w:name="regulatory-liaison"/>
    <w:p>
      <w:pPr>
        <w:pStyle w:val="Heading3"/>
      </w:pPr>
      <w:r>
        <w:t xml:space="preserve">3.3 Regulatory Liaison</w:t>
      </w:r>
    </w:p>
    <w:p>
      <w:pPr>
        <w:pStyle w:val="FirstParagraph"/>
      </w:pPr>
      <w:r>
        <w:t xml:space="preserve">The Regulatory Liaison is responsible for:</w:t>
      </w:r>
    </w:p>
    <w:p>
      <w:pPr>
        <w:numPr>
          <w:ilvl w:val="0"/>
          <w:numId w:val="1004"/>
        </w:numPr>
        <w:pStyle w:val="Compact"/>
      </w:pPr>
      <w:r>
        <w:t xml:space="preserve">Ensuring compliance with Thai aviation and environmental regulations</w:t>
      </w:r>
    </w:p>
    <w:p>
      <w:pPr>
        <w:numPr>
          <w:ilvl w:val="0"/>
          <w:numId w:val="1004"/>
        </w:numPr>
        <w:pStyle w:val="Compact"/>
      </w:pPr>
      <w:r>
        <w:t xml:space="preserve">Obtaining necessary permits and approvals</w:t>
      </w:r>
    </w:p>
    <w:bookmarkEnd w:id="24"/>
    <w:bookmarkEnd w:id="25"/>
    <w:bookmarkStart w:id="26" w:name="X99c50d8602236f1604bca87a56cd7dcefc49b4e"/>
    <w:p>
      <w:pPr>
        <w:pStyle w:val="Heading2"/>
      </w:pPr>
      <w:r>
        <w:t xml:space="preserve">4. Environmental Considerations for Bangkok, Thailand</w:t>
      </w:r>
    </w:p>
    <w:p>
      <w:pPr>
        <w:pStyle w:val="FirstParagraph"/>
      </w:pPr>
      <w:r>
        <w:t xml:space="preserve">Bangkok’s tropical climate presents unique challenges for aerospace engineering experiments. Key environmental factors include:</w:t>
      </w:r>
    </w:p>
    <w:p>
      <w:pPr>
        <w:numPr>
          <w:ilvl w:val="0"/>
          <w:numId w:val="1005"/>
        </w:numPr>
        <w:pStyle w:val="Compact"/>
      </w:pPr>
      <w:r>
        <w:rPr>
          <w:bCs/>
          <w:b/>
        </w:rPr>
        <w:t xml:space="preserve">High Humidity:</w:t>
      </w:r>
      <w:r>
        <w:t xml:space="preserve"> </w:t>
      </w:r>
      <w:r>
        <w:t xml:space="preserve">Can affect electronic components and materials. All equipment must be rated for high-humidity environments.</w:t>
      </w:r>
    </w:p>
    <w:p>
      <w:pPr>
        <w:numPr>
          <w:ilvl w:val="0"/>
          <w:numId w:val="1005"/>
        </w:numPr>
        <w:pStyle w:val="Compact"/>
      </w:pPr>
      <w:r>
        <w:rPr>
          <w:bCs/>
          <w:b/>
        </w:rPr>
        <w:t xml:space="preserve">High Temperatures:</w:t>
      </w:r>
      <w:r>
        <w:t xml:space="preserve"> </w:t>
      </w:r>
      <w:r>
        <w:t xml:space="preserve">Average temperatures range from 25°C to 35°C. Thermal management systems must be validated.</w:t>
      </w:r>
    </w:p>
    <w:p>
      <w:pPr>
        <w:numPr>
          <w:ilvl w:val="0"/>
          <w:numId w:val="1005"/>
        </w:numPr>
        <w:pStyle w:val="Compact"/>
      </w:pPr>
      <w:r>
        <w:rPr>
          <w:bCs/>
          <w:b/>
        </w:rPr>
        <w:t xml:space="preserve">Monsoon Season:</w:t>
      </w:r>
      <w:r>
        <w:t xml:space="preserve"> </w:t>
      </w:r>
      <w:r>
        <w:t xml:space="preserve">Heavy rainfall may disrupt outdoor experiments. Contingency plans must be in place.</w:t>
      </w:r>
    </w:p>
    <w:p>
      <w:pPr>
        <w:numPr>
          <w:ilvl w:val="0"/>
          <w:numId w:val="1005"/>
        </w:numPr>
        <w:pStyle w:val="Compact"/>
      </w:pPr>
      <w:r>
        <w:rPr>
          <w:bCs/>
          <w:b/>
        </w:rPr>
        <w:t xml:space="preserve">Air Quality:</w:t>
      </w:r>
      <w:r>
        <w:t xml:space="preserve"> </w:t>
      </w:r>
      <w:r>
        <w:t xml:space="preserve">Particulate matter levels can be high. Filtration systems should be used where necessary.</w:t>
      </w:r>
    </w:p>
    <w:bookmarkEnd w:id="26"/>
    <w:bookmarkStart w:id="30" w:name="experimental-procedures"/>
    <w:p>
      <w:pPr>
        <w:pStyle w:val="Heading2"/>
      </w:pPr>
      <w:r>
        <w:t xml:space="preserve">5. Experimental Procedures</w:t>
      </w:r>
    </w:p>
    <w:bookmarkStart w:id="27" w:name="pre-experiment-phase"/>
    <w:p>
      <w:pPr>
        <w:pStyle w:val="Heading3"/>
      </w:pPr>
      <w:r>
        <w:t xml:space="preserve">5.1 Pre-Experiment Phase</w:t>
      </w:r>
    </w:p>
    <w:p>
      <w:pPr>
        <w:numPr>
          <w:ilvl w:val="0"/>
          <w:numId w:val="1006"/>
        </w:numPr>
        <w:pStyle w:val="Compact"/>
      </w:pPr>
      <w:r>
        <w:t xml:space="preserve">Define the experiment objectives and hypotheses.</w:t>
      </w:r>
    </w:p>
    <w:p>
      <w:pPr>
        <w:numPr>
          <w:ilvl w:val="0"/>
          <w:numId w:val="1006"/>
        </w:numPr>
        <w:pStyle w:val="Compact"/>
      </w:pPr>
      <w:r>
        <w:t xml:space="preserve">Conduct a risk assessment specific to the Bangkok environment.</w:t>
      </w:r>
    </w:p>
    <w:p>
      <w:pPr>
        <w:numPr>
          <w:ilvl w:val="0"/>
          <w:numId w:val="1006"/>
        </w:numPr>
        <w:pStyle w:val="Compact"/>
      </w:pPr>
      <w:r>
        <w:t xml:space="preserve">Obtain all necessary permits from Thai authorities (e.g., Department of Civil Aviation, Ministry of Natural Resources and Environment).</w:t>
      </w:r>
    </w:p>
    <w:p>
      <w:pPr>
        <w:numPr>
          <w:ilvl w:val="0"/>
          <w:numId w:val="1006"/>
        </w:numPr>
        <w:pStyle w:val="Compact"/>
      </w:pPr>
      <w:r>
        <w:t xml:space="preserve">Prepare detailed experimental procedures and safety plans.</w:t>
      </w:r>
    </w:p>
    <w:p>
      <w:pPr>
        <w:numPr>
          <w:ilvl w:val="0"/>
          <w:numId w:val="1006"/>
        </w:numPr>
        <w:pStyle w:val="Compact"/>
      </w:pPr>
      <w:r>
        <w:t xml:space="preserve">Calibrate all equipment according to international standards.</w:t>
      </w:r>
    </w:p>
    <w:bookmarkEnd w:id="27"/>
    <w:bookmarkStart w:id="28" w:name="experiment-execution"/>
    <w:p>
      <w:pPr>
        <w:pStyle w:val="Heading3"/>
      </w:pPr>
      <w:r>
        <w:t xml:space="preserve">5.2 Experiment Execution</w:t>
      </w:r>
    </w:p>
    <w:p>
      <w:pPr>
        <w:numPr>
          <w:ilvl w:val="0"/>
          <w:numId w:val="1007"/>
        </w:numPr>
        <w:pStyle w:val="Compact"/>
      </w:pPr>
      <w:r>
        <w:t xml:space="preserve">Verify that all safety measures are in place.</w:t>
      </w:r>
    </w:p>
    <w:p>
      <w:pPr>
        <w:numPr>
          <w:ilvl w:val="0"/>
          <w:numId w:val="1007"/>
        </w:numPr>
        <w:pStyle w:val="Compact"/>
      </w:pPr>
      <w:r>
        <w:t xml:space="preserve">Conduct the experiment according to the approved procedures.</w:t>
      </w:r>
    </w:p>
    <w:p>
      <w:pPr>
        <w:numPr>
          <w:ilvl w:val="0"/>
          <w:numId w:val="1007"/>
        </w:numPr>
        <w:pStyle w:val="Compact"/>
      </w:pPr>
      <w:r>
        <w:t xml:space="preserve">Monitor environmental conditions continuously.</w:t>
      </w:r>
    </w:p>
    <w:p>
      <w:pPr>
        <w:numPr>
          <w:ilvl w:val="0"/>
          <w:numId w:val="1007"/>
        </w:numPr>
        <w:pStyle w:val="Compact"/>
      </w:pPr>
      <w:r>
        <w:t xml:space="preserve">Record all data systematically.</w:t>
      </w:r>
    </w:p>
    <w:p>
      <w:pPr>
        <w:numPr>
          <w:ilvl w:val="0"/>
          <w:numId w:val="1007"/>
        </w:numPr>
        <w:pStyle w:val="Compact"/>
      </w:pPr>
      <w:r>
        <w:t xml:space="preserve">Address any deviations or anomalies immediately.</w:t>
      </w:r>
    </w:p>
    <w:bookmarkEnd w:id="28"/>
    <w:bookmarkStart w:id="29" w:name="post-experiment-phase"/>
    <w:p>
      <w:pPr>
        <w:pStyle w:val="Heading3"/>
      </w:pPr>
      <w:r>
        <w:t xml:space="preserve">5.3 Post-Experiment Phase</w:t>
      </w:r>
    </w:p>
    <w:p>
      <w:pPr>
        <w:numPr>
          <w:ilvl w:val="0"/>
          <w:numId w:val="1008"/>
        </w:numPr>
        <w:pStyle w:val="Compact"/>
      </w:pPr>
      <w:r>
        <w:t xml:space="preserve">Secure all equipment and materials.</w:t>
      </w:r>
    </w:p>
    <w:p>
      <w:pPr>
        <w:numPr>
          <w:ilvl w:val="0"/>
          <w:numId w:val="1008"/>
        </w:numPr>
        <w:pStyle w:val="Compact"/>
      </w:pPr>
      <w:r>
        <w:t xml:space="preserve">Analyze the collected data.</w:t>
      </w:r>
    </w:p>
    <w:p>
      <w:pPr>
        <w:numPr>
          <w:ilvl w:val="0"/>
          <w:numId w:val="1008"/>
        </w:numPr>
        <w:pStyle w:val="Compact"/>
      </w:pPr>
      <w:r>
        <w:t xml:space="preserve">Prepare a comprehensive report.</w:t>
      </w:r>
    </w:p>
    <w:p>
      <w:pPr>
        <w:numPr>
          <w:ilvl w:val="0"/>
          <w:numId w:val="1008"/>
        </w:numPr>
        <w:pStyle w:val="Compact"/>
      </w:pPr>
      <w:r>
        <w:t xml:space="preserve">Submit the report to relevant stakeholders and regulatory bodies.</w:t>
      </w:r>
    </w:p>
    <w:p>
      <w:pPr>
        <w:numPr>
          <w:ilvl w:val="0"/>
          <w:numId w:val="1008"/>
        </w:numPr>
        <w:pStyle w:val="Compact"/>
      </w:pPr>
      <w:r>
        <w:t xml:space="preserve">Conduct a debriefing session to identify lessons learned.</w:t>
      </w:r>
    </w:p>
    <w:bookmarkEnd w:id="29"/>
    <w:bookmarkEnd w:id="30"/>
    <w:bookmarkStart w:id="31" w:name="safety-requirements"/>
    <w:p>
      <w:pPr>
        <w:pStyle w:val="Heading2"/>
      </w:pPr>
      <w:r>
        <w:t xml:space="preserve">6. Safety Requirements</w:t>
      </w:r>
    </w:p>
    <w:p>
      <w:pPr>
        <w:pStyle w:val="FirstParagraph"/>
      </w:pPr>
      <w:r>
        <w:t xml:space="preserve">All experiments must adhere to the following safety requirements:</w:t>
      </w:r>
    </w:p>
    <w:p>
      <w:pPr>
        <w:numPr>
          <w:ilvl w:val="0"/>
          <w:numId w:val="1009"/>
        </w:numPr>
        <w:pStyle w:val="Compact"/>
      </w:pPr>
      <w:r>
        <w:t xml:space="preserve">Personal Protective Equipment (PPE) must be worn at all times.</w:t>
      </w:r>
    </w:p>
    <w:p>
      <w:pPr>
        <w:numPr>
          <w:ilvl w:val="0"/>
          <w:numId w:val="1009"/>
        </w:numPr>
        <w:pStyle w:val="Compact"/>
      </w:pPr>
      <w:r>
        <w:t xml:space="preserve">Emergency shutdown procedures must be clearly defined and accessible.</w:t>
      </w:r>
    </w:p>
    <w:p>
      <w:pPr>
        <w:numPr>
          <w:ilvl w:val="0"/>
          <w:numId w:val="1009"/>
        </w:numPr>
        <w:pStyle w:val="Compact"/>
      </w:pPr>
      <w:r>
        <w:t xml:space="preserve">Fire suppression systems must be in place for all indoor experiments.</w:t>
      </w:r>
    </w:p>
    <w:p>
      <w:pPr>
        <w:numPr>
          <w:ilvl w:val="0"/>
          <w:numId w:val="1009"/>
        </w:numPr>
        <w:pStyle w:val="Compact"/>
      </w:pPr>
      <w:r>
        <w:t xml:space="preserve">First aid kits and trained personnel must be available on-site.</w:t>
      </w:r>
    </w:p>
    <w:p>
      <w:pPr>
        <w:numPr>
          <w:ilvl w:val="0"/>
          <w:numId w:val="1009"/>
        </w:numPr>
        <w:pStyle w:val="Compact"/>
      </w:pPr>
      <w:r>
        <w:t xml:space="preserve">Regular safety drills must be conducted.</w:t>
      </w:r>
    </w:p>
    <w:bookmarkEnd w:id="31"/>
    <w:bookmarkStart w:id="32" w:name="data-management"/>
    <w:p>
      <w:pPr>
        <w:pStyle w:val="Heading2"/>
      </w:pPr>
      <w:r>
        <w:t xml:space="preserve">7. Data Management</w:t>
      </w:r>
    </w:p>
    <w:p>
      <w:pPr>
        <w:pStyle w:val="FirstParagraph"/>
      </w:pPr>
      <w:r>
        <w:t xml:space="preserve">All experimental data must be:</w:t>
      </w:r>
    </w:p>
    <w:p>
      <w:pPr>
        <w:numPr>
          <w:ilvl w:val="0"/>
          <w:numId w:val="1010"/>
        </w:numPr>
        <w:pStyle w:val="Compact"/>
      </w:pPr>
      <w:r>
        <w:t xml:space="preserve">Accurately recorded in real-time.</w:t>
      </w:r>
    </w:p>
    <w:p>
      <w:pPr>
        <w:numPr>
          <w:ilvl w:val="0"/>
          <w:numId w:val="1010"/>
        </w:numPr>
        <w:pStyle w:val="Compact"/>
      </w:pPr>
      <w:r>
        <w:t xml:space="preserve">Stored securely in accordance with data protection regulations.</w:t>
      </w:r>
    </w:p>
    <w:p>
      <w:pPr>
        <w:numPr>
          <w:ilvl w:val="0"/>
          <w:numId w:val="1010"/>
        </w:numPr>
        <w:pStyle w:val="Compact"/>
      </w:pPr>
      <w:r>
        <w:t xml:space="preserve">Backed up regularly.</w:t>
      </w:r>
    </w:p>
    <w:p>
      <w:pPr>
        <w:numPr>
          <w:ilvl w:val="0"/>
          <w:numId w:val="1010"/>
        </w:numPr>
        <w:pStyle w:val="Compact"/>
      </w:pPr>
      <w:r>
        <w:t xml:space="preserve">Accessible only to authorized personnel.</w:t>
      </w:r>
    </w:p>
    <w:bookmarkEnd w:id="32"/>
    <w:bookmarkStart w:id="33" w:name="compliance-and-reporting"/>
    <w:p>
      <w:pPr>
        <w:pStyle w:val="Heading2"/>
      </w:pPr>
      <w:r>
        <w:t xml:space="preserve">8. Compliance and Reporting</w:t>
      </w:r>
    </w:p>
    <w:p>
      <w:pPr>
        <w:pStyle w:val="FirstParagraph"/>
      </w:pPr>
      <w:r>
        <w:t xml:space="preserve">All experiments must comply with:</w:t>
      </w:r>
    </w:p>
    <w:p>
      <w:pPr>
        <w:numPr>
          <w:ilvl w:val="0"/>
          <w:numId w:val="1011"/>
        </w:numPr>
        <w:pStyle w:val="Compact"/>
      </w:pPr>
      <w:r>
        <w:t xml:space="preserve">Thai aviation regulations</w:t>
      </w:r>
    </w:p>
    <w:p>
      <w:pPr>
        <w:numPr>
          <w:ilvl w:val="0"/>
          <w:numId w:val="1011"/>
        </w:numPr>
        <w:pStyle w:val="Compact"/>
      </w:pPr>
      <w:r>
        <w:t xml:space="preserve">Environmental protection laws</w:t>
      </w:r>
    </w:p>
    <w:p>
      <w:pPr>
        <w:numPr>
          <w:ilvl w:val="0"/>
          <w:numId w:val="1011"/>
        </w:numPr>
        <w:pStyle w:val="Compact"/>
      </w:pPr>
      <w:r>
        <w:t xml:space="preserve">International aerospace standards (e.g., ISO 9001, ASTM standards)</w:t>
      </w:r>
    </w:p>
    <w:p>
      <w:pPr>
        <w:pStyle w:val="FirstParagraph"/>
      </w:pPr>
      <w:r>
        <w:t xml:space="preserve">Reports must be submitted within 30 days of experiment completion and include:</w:t>
      </w:r>
    </w:p>
    <w:p>
      <w:pPr>
        <w:numPr>
          <w:ilvl w:val="0"/>
          <w:numId w:val="1012"/>
        </w:numPr>
        <w:pStyle w:val="Compact"/>
      </w:pPr>
      <w:r>
        <w:t xml:space="preserve">Experiment objectives and methodology</w:t>
      </w:r>
    </w:p>
    <w:p>
      <w:pPr>
        <w:numPr>
          <w:ilvl w:val="0"/>
          <w:numId w:val="1012"/>
        </w:numPr>
        <w:pStyle w:val="Compact"/>
      </w:pPr>
      <w:r>
        <w:t xml:space="preserve">Data and analysis</w:t>
      </w:r>
    </w:p>
    <w:p>
      <w:pPr>
        <w:numPr>
          <w:ilvl w:val="0"/>
          <w:numId w:val="1012"/>
        </w:numPr>
        <w:pStyle w:val="Compact"/>
      </w:pPr>
      <w:r>
        <w:t xml:space="preserve">Safety incidents (if any)</w:t>
      </w:r>
    </w:p>
    <w:p>
      <w:pPr>
        <w:numPr>
          <w:ilvl w:val="0"/>
          <w:numId w:val="1012"/>
        </w:numPr>
        <w:pStyle w:val="Compact"/>
      </w:pPr>
      <w:r>
        <w:t xml:space="preserve">Conclusions and recommendations</w:t>
      </w:r>
    </w:p>
    <w:bookmarkEnd w:id="33"/>
    <w:bookmarkStart w:id="34" w:name="approval"/>
    <w:p>
      <w:pPr>
        <w:pStyle w:val="Heading2"/>
      </w:pPr>
      <w:r>
        <w:t xml:space="preserve">9. Approval</w:t>
      </w:r>
    </w:p>
    <w:p>
      <w:pPr>
        <w:pStyle w:val="FirstParagraph"/>
      </w:pPr>
      <w:r>
        <w:t xml:space="preserve">This Experiment Protocol must be approved by the following parties before any experiment is conducted: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Aerospace Engineer</w:t>
            </w:r>
          </w:p>
        </w:tc>
        <w:tc>
          <w:tcPr/>
          <w:p>
            <w:pPr>
              <w:pStyle w:val="Compact"/>
            </w:pPr>
          </w:p>
        </w:tc>
        <w:tc>
          <w:tcPr/>
          <w:p>
            <w:pPr>
              <w:pStyle w:val="Compact"/>
            </w:pPr>
          </w:p>
        </w:tc>
        <w:tc>
          <w:tcPr/>
          <w:p>
            <w:pPr>
              <w:pStyle w:val="Compact"/>
            </w:pPr>
          </w:p>
        </w:tc>
      </w:tr>
      <w:tr>
        <w:tc>
          <w:tcPr/>
          <w:p>
            <w:pPr>
              <w:pStyle w:val="Compact"/>
              <w:jc w:val="left"/>
            </w:pPr>
            <w:r>
              <w:t xml:space="preserve">Safety Officer</w:t>
            </w:r>
          </w:p>
        </w:tc>
        <w:tc>
          <w:tcPr/>
          <w:p>
            <w:pPr>
              <w:pStyle w:val="Compact"/>
            </w:pPr>
          </w:p>
        </w:tc>
        <w:tc>
          <w:tcPr/>
          <w:p>
            <w:pPr>
              <w:pStyle w:val="Compact"/>
            </w:pPr>
          </w:p>
        </w:tc>
        <w:tc>
          <w:tcPr/>
          <w:p>
            <w:pPr>
              <w:pStyle w:val="Compact"/>
            </w:pPr>
          </w:p>
        </w:tc>
      </w:tr>
      <w:tr>
        <w:tc>
          <w:tcPr/>
          <w:p>
            <w:pPr>
              <w:pStyle w:val="Compact"/>
              <w:jc w:val="left"/>
            </w:pPr>
            <w:r>
              <w:t xml:space="preserve">Regulatory Liaison</w:t>
            </w:r>
          </w:p>
        </w:tc>
        <w:tc>
          <w:tcPr/>
          <w:p>
            <w:pPr>
              <w:pStyle w:val="Compact"/>
            </w:pPr>
          </w:p>
        </w:tc>
        <w:tc>
          <w:tcPr/>
          <w:p>
            <w:pPr>
              <w:pStyle w:val="Compact"/>
            </w:pPr>
          </w:p>
        </w:tc>
        <w:tc>
          <w:tcPr/>
          <w:p>
            <w:pPr>
              <w:pStyle w:val="Compact"/>
            </w:pPr>
          </w:p>
        </w:tc>
      </w:tr>
    </w:tbl>
    <w:bookmarkEnd w:id="34"/>
    <w:p>
      <w:pPr>
        <w:pStyle w:val="BodyText"/>
      </w:pPr>
      <w:r>
        <w:rPr>
          <w:bCs/>
          <w:b/>
        </w:rPr>
        <w:t xml:space="preserve">Aerospace Engineer Signature:</w:t>
      </w:r>
    </w:p>
    <w:p>
      <w:pPr>
        <w:pStyle w:val="BodyText"/>
      </w:pPr>
      <w:r>
        <w:rPr>
          <w:bCs/>
          <w:b/>
        </w:rPr>
        <w:t xml:space="preserve">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Thailand Bangkok</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