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Composite</w:t>
      </w:r>
      <w:r>
        <w:t xml:space="preserve"> </w:t>
      </w:r>
      <w:r>
        <w:t xml:space="preserve">Fatigue</w:t>
      </w:r>
      <w:r>
        <w:t xml:space="preserve"> </w:t>
      </w:r>
      <w:r>
        <w:t xml:space="preserve">Testing</w:t>
      </w:r>
    </w:p>
    <w:bookmarkStart w:id="20" w:name="X11bfb3e9028f85aac50716acc382eea81b67458"/>
    <w:p>
      <w:pPr>
        <w:pStyle w:val="Heading1"/>
      </w:pPr>
      <w:r>
        <w:t xml:space="preserve">Experiment Protocol: High-Cycle Fatigue Analysis of Carbon Fibre Reinforced Polymer (CFRP) Wing Spar Components</w:t>
      </w:r>
    </w:p>
    <w:p>
      <w:pPr>
        <w:pStyle w:val="FirstParagraph"/>
      </w:pPr>
      <w:r>
        <w:rPr>
          <w:bCs/>
          <w:b/>
        </w:rPr>
        <w:t xml:space="preserve">Document Reference:</w:t>
      </w:r>
      <w:r>
        <w:t xml:space="preserve"> </w:t>
      </w:r>
      <w:r>
        <w:t xml:space="preserve">EXP-BHM-2024-089</w:t>
      </w:r>
    </w:p>
    <w:p>
      <w:pPr>
        <w:pStyle w:val="BodyText"/>
      </w:pPr>
      <w:r>
        <w:rPr>
          <w:bCs/>
          <w:b/>
        </w:rPr>
        <w:t xml:space="preserve">Location:</w:t>
      </w:r>
      <w:r>
        <w:t xml:space="preserve"> </w:t>
      </w:r>
      <w:r>
        <w:t xml:space="preserve">United Kingdom Birmingham, West Midlands</w:t>
      </w:r>
    </w:p>
    <w:p>
      <w:pPr>
        <w:pStyle w:val="BodyText"/>
      </w:pPr>
      <w:r>
        <w:rPr>
          <w:bCs/>
          <w:b/>
        </w:rPr>
        <w:t xml:space="preserve">Lead Discipline:</w:t>
      </w:r>
      <w:r>
        <w:t xml:space="preserve"> </w:t>
      </w:r>
      <w:r>
        <w:t xml:space="preserve">Aerospace Engineer</w:t>
      </w:r>
    </w:p>
    <w:p>
      <w:pPr>
        <w:pStyle w:val="BodyText"/>
      </w:pPr>
      <w:r>
        <w:rPr>
          <w:bCs/>
          <w:b/>
        </w:rPr>
        <w:t xml:space="preserve">Date of Issue:</w:t>
      </w:r>
      <w:r>
        <w:t xml:space="preserve"> </w:t>
      </w:r>
      <w:r>
        <w:t xml:space="preserve">24 October 2024</w:t>
      </w:r>
    </w:p>
    <w:p>
      <w:pPr>
        <w:pStyle w:val="BodyText"/>
      </w:pPr>
      <w:r>
        <w:rPr>
          <w:bCs/>
          <w:b/>
        </w:rPr>
        <w:t xml:space="preserve">Compliance:</w:t>
      </w:r>
      <w:r>
        <w:t xml:space="preserve"> </w:t>
      </w:r>
      <w:r>
        <w:t xml:space="preserve">UK Civil Aviation Authority (CAA) CAP 722 / EASA CS-25</w:t>
      </w:r>
    </w:p>
    <w:bookmarkEnd w:id="20"/>
    <w:bookmarkStart w:id="21" w:name="introduction-and-scope"/>
    <w:p>
      <w:pPr>
        <w:pStyle w:val="Heading2"/>
      </w:pPr>
      <w:r>
        <w:t xml:space="preserve">1. Introduction and Scope</w:t>
      </w:r>
    </w:p>
    <w:p>
      <w:pPr>
        <w:pStyle w:val="FirstParagraph"/>
      </w:pPr>
      <w:r>
        <w:t xml:space="preserve">This Experiment Protocol outlines the rigorous methodology required for the structural integrity testing of next-generation wing spar components manufactured from Carbon Fibre Reinforced Polymer (CFRP). This document is specifically designed for execution within the advanced materials testing laboratories located in United Kingdom Birmingham, leveraging the region's status as a global hub for aerospace innovation and manufacturing.</w:t>
      </w:r>
    </w:p>
    <w:p>
      <w:pPr>
        <w:pStyle w:val="BodyText"/>
      </w:pPr>
      <w:r>
        <w:t xml:space="preserve">The primary objective is to validate the fatigue life of these components under simulated operational loads. As an Aerospace Engineer, the lead investigator must ensure that all procedures adhere strictly to the highest standards of safety, precision, and regulatory compliance mandated by the United Kingdom's aviation authorities. The data generated from this experiment will directly influence the certification process for commercial aircraft structures, ensuring passenger safety and operational reliability.</w:t>
      </w:r>
    </w:p>
    <w:bookmarkEnd w:id="21"/>
    <w:bookmarkStart w:id="22" w:name="regulatory-framework-and-standards"/>
    <w:p>
      <w:pPr>
        <w:pStyle w:val="Heading2"/>
      </w:pPr>
      <w:r>
        <w:t xml:space="preserve">2. Regulatory Framework and Standards</w:t>
      </w:r>
    </w:p>
    <w:p>
      <w:pPr>
        <w:pStyle w:val="FirstParagraph"/>
      </w:pPr>
      <w:r>
        <w:t xml:space="preserve">All activities conducted under this protocol must comply with the following standards, which are critical for any Aerospace Engineer operating within the United Kingdom Birmingham industrial ecosystem:</w:t>
      </w:r>
    </w:p>
    <w:p>
      <w:pPr>
        <w:numPr>
          <w:ilvl w:val="0"/>
          <w:numId w:val="1001"/>
        </w:numPr>
        <w:pStyle w:val="Compact"/>
      </w:pPr>
      <w:r>
        <w:rPr>
          <w:bCs/>
          <w:b/>
        </w:rPr>
        <w:t xml:space="preserve">BS EN 60335-1:</w:t>
      </w:r>
      <w:r>
        <w:t xml:space="preserve"> </w:t>
      </w:r>
      <w:r>
        <w:t xml:space="preserve">Safety of household and similar electrical appliances (for testing equipment safety).</w:t>
      </w:r>
    </w:p>
    <w:p>
      <w:pPr>
        <w:numPr>
          <w:ilvl w:val="0"/>
          <w:numId w:val="1001"/>
        </w:numPr>
        <w:pStyle w:val="Compact"/>
      </w:pPr>
      <w:r>
        <w:rPr>
          <w:bCs/>
          <w:b/>
        </w:rPr>
        <w:t xml:space="preserve">ISO 12107:</w:t>
      </w:r>
      <w:r>
        <w:t xml:space="preserve"> </w:t>
      </w:r>
      <w:r>
        <w:t xml:space="preserve">Statistical methods for fatigue testing and analysis.</w:t>
      </w:r>
    </w:p>
    <w:p>
      <w:pPr>
        <w:numPr>
          <w:ilvl w:val="0"/>
          <w:numId w:val="1001"/>
        </w:numPr>
        <w:pStyle w:val="Compact"/>
      </w:pPr>
      <w:r>
        <w:rPr>
          <w:bCs/>
          <w:b/>
        </w:rPr>
        <w:t xml:space="preserve">EASA CS-25.571:</w:t>
      </w:r>
      <w:r>
        <w:t xml:space="preserve"> </w:t>
      </w:r>
      <w:r>
        <w:t xml:space="preserve">Fatigue evaluation of structure.</w:t>
      </w:r>
    </w:p>
    <w:p>
      <w:pPr>
        <w:numPr>
          <w:ilvl w:val="0"/>
          <w:numId w:val="1001"/>
        </w:numPr>
        <w:pStyle w:val="Compact"/>
      </w:pPr>
      <w:r>
        <w:rPr>
          <w:bCs/>
          <w:b/>
        </w:rPr>
        <w:t xml:space="preserve">UK Health and Safety at Work etc. Act 1974:</w:t>
      </w:r>
      <w:r>
        <w:t xml:space="preserve"> </w:t>
      </w:r>
      <w:r>
        <w:t xml:space="preserve">Ensuring the safety of all personnel within the Birmingham facility.</w:t>
      </w:r>
    </w:p>
    <w:p>
      <w:pPr>
        <w:pStyle w:val="FirstParagraph"/>
      </w:pPr>
      <w:r>
        <w:t xml:space="preserve">The Aerospace Engineer responsible for this protocol must verify that all testing equipment is calibrated according to UKAS (United Kingdom Accreditation Service) standards to ensure the validity of the results for international certification.</w:t>
      </w:r>
    </w:p>
    <w:bookmarkEnd w:id="22"/>
    <w:bookmarkStart w:id="23" w:name="experimental-setup-and-equipment"/>
    <w:p>
      <w:pPr>
        <w:pStyle w:val="Heading2"/>
      </w:pPr>
      <w:r>
        <w:t xml:space="preserve">3. Experimental Setup and Equipment</w:t>
      </w:r>
    </w:p>
    <w:p>
      <w:pPr>
        <w:pStyle w:val="FirstParagraph"/>
      </w:pPr>
      <w:r>
        <w:t xml:space="preserve">The experiment will be conducted in a climate-controlled environment within the United Kingdom Birmingham testing facility. The following equipment is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Electrodynamic Fatigue Tester</w:t>
            </w:r>
          </w:p>
        </w:tc>
        <w:tc>
          <w:tcPr/>
          <w:p>
            <w:pPr>
              <w:pStyle w:val="Compact"/>
              <w:jc w:val="left"/>
            </w:pPr>
            <w:r>
              <w:t xml:space="preserve">Capacity: 500 kN; Frequency: 0.1-100 Hz</w:t>
            </w:r>
          </w:p>
        </w:tc>
        <w:tc>
          <w:tcPr/>
          <w:p>
            <w:pPr>
              <w:pStyle w:val="Compact"/>
              <w:jc w:val="left"/>
            </w:pPr>
            <w:r>
              <w:t xml:space="preserve">Application of cyclic loads to simulate flight conditions.</w:t>
            </w:r>
          </w:p>
        </w:tc>
      </w:tr>
      <w:tr>
        <w:tc>
          <w:tcPr/>
          <w:p>
            <w:pPr>
              <w:pStyle w:val="Compact"/>
              <w:jc w:val="left"/>
            </w:pPr>
            <w:r>
              <w:t xml:space="preserve">Strain Gauges (Roche)</w:t>
            </w:r>
          </w:p>
        </w:tc>
        <w:tc>
          <w:tcPr/>
          <w:p>
            <w:pPr>
              <w:pStyle w:val="Compact"/>
              <w:jc w:val="left"/>
            </w:pPr>
            <w:r>
              <w:t xml:space="preserve">Full-bridge configuration</w:t>
            </w:r>
          </w:p>
        </w:tc>
        <w:tc>
          <w:tcPr/>
          <w:p>
            <w:pPr>
              <w:pStyle w:val="Compact"/>
              <w:jc w:val="left"/>
            </w:pPr>
            <w:r>
              <w:t xml:space="preserve">Real-time measurement of strain distribution on the CFRP spar.</w:t>
            </w:r>
          </w:p>
        </w:tc>
      </w:tr>
      <w:tr>
        <w:tc>
          <w:tcPr/>
          <w:p>
            <w:pPr>
              <w:pStyle w:val="Compact"/>
              <w:jc w:val="left"/>
            </w:pPr>
            <w:r>
              <w:t xml:space="preserve">Acoustic Emission Sensors</w:t>
            </w:r>
          </w:p>
        </w:tc>
        <w:tc>
          <w:tcPr/>
          <w:p>
            <w:pPr>
              <w:pStyle w:val="Compact"/>
              <w:jc w:val="left"/>
            </w:pPr>
            <w:r>
              <w:t xml:space="preserve">High-frequency range</w:t>
            </w:r>
          </w:p>
        </w:tc>
        <w:tc>
          <w:tcPr/>
          <w:p>
            <w:pPr>
              <w:pStyle w:val="Compact"/>
              <w:jc w:val="left"/>
            </w:pPr>
            <w:r>
              <w:t xml:space="preserve">Detection of internal damage initiation and propagation.</w:t>
            </w:r>
          </w:p>
        </w:tc>
      </w:tr>
      <w:tr>
        <w:tc>
          <w:tcPr/>
          <w:p>
            <w:pPr>
              <w:pStyle w:val="Compact"/>
              <w:jc w:val="left"/>
            </w:pPr>
            <w:r>
              <w:t xml:space="preserve">Environmental Chamber</w:t>
            </w:r>
          </w:p>
        </w:tc>
        <w:tc>
          <w:tcPr/>
          <w:p>
            <w:pPr>
              <w:pStyle w:val="Compact"/>
              <w:jc w:val="left"/>
            </w:pPr>
            <w:r>
              <w:t xml:space="preserve">Temp: -55°C to +80°C; Humidity: 0-95%</w:t>
            </w:r>
          </w:p>
        </w:tc>
        <w:tc>
          <w:tcPr/>
          <w:p>
            <w:pPr>
              <w:pStyle w:val="Compact"/>
              <w:jc w:val="left"/>
            </w:pPr>
            <w:r>
              <w:t xml:space="preserve">Simulation of extreme atmospheric conditions encountered during flight.</w:t>
            </w:r>
          </w:p>
        </w:tc>
      </w:tr>
    </w:tbl>
    <w:p>
      <w:pPr>
        <w:pStyle w:val="BodyText"/>
      </w:pPr>
      <w:r>
        <w:t xml:space="preserve">The Aerospace Engineer must perform a pre-test inspection of all equipment to ensure functionality and safety. Any discrepancies must be logged and resolved before the commencement of the experiment.</w:t>
      </w:r>
    </w:p>
    <w:bookmarkEnd w:id="23"/>
    <w:bookmarkStart w:id="27" w:name="methodology"/>
    <w:p>
      <w:pPr>
        <w:pStyle w:val="Heading2"/>
      </w:pPr>
      <w:r>
        <w:t xml:space="preserve">4. Methodology</w:t>
      </w:r>
    </w:p>
    <w:bookmarkStart w:id="24" w:name="sample-preparation"/>
    <w:p>
      <w:pPr>
        <w:pStyle w:val="Heading3"/>
      </w:pPr>
      <w:r>
        <w:t xml:space="preserve">4.1 Sample Preparation</w:t>
      </w:r>
    </w:p>
    <w:p>
      <w:pPr>
        <w:pStyle w:val="FirstParagraph"/>
      </w:pPr>
      <w:r>
        <w:t xml:space="preserve">CFRP wing spar specimens will be manufactured using automated fibre placement (AFP) technology. Each specimen will undergo non-destructive testing (NDT) using ultrasonic C-scanning to identify any manufacturing defects such as voids or delaminations. Only specimens meeting the strict quality criteria defined by the Aerospace Engineer will proceed to the fatigue testing phase.</w:t>
      </w:r>
    </w:p>
    <w:bookmarkEnd w:id="24"/>
    <w:bookmarkStart w:id="25" w:name="loading-protocol"/>
    <w:p>
      <w:pPr>
        <w:pStyle w:val="Heading3"/>
      </w:pPr>
      <w:r>
        <w:t xml:space="preserve">4.2 Loading Protocol</w:t>
      </w:r>
    </w:p>
    <w:p>
      <w:pPr>
        <w:pStyle w:val="FirstParagraph"/>
      </w:pPr>
      <w:r>
        <w:t xml:space="preserve">The fatigue loading will follow a spectrum load profile representative of a typical commercial flight cycle. The load ratio (R-ratio) will be maintained at 0.1, with a maximum load corresponding to the ultimate limit load of the component. The frequency of loading will be adjusted to prevent thermal buildup within the CFRP material, which could skew the results.</w:t>
      </w:r>
    </w:p>
    <w:bookmarkEnd w:id="25"/>
    <w:bookmarkStart w:id="26" w:name="data-acquisition"/>
    <w:p>
      <w:pPr>
        <w:pStyle w:val="Heading3"/>
      </w:pPr>
      <w:r>
        <w:t xml:space="preserve">4.3 Data Acquisition</w:t>
      </w:r>
    </w:p>
    <w:p>
      <w:pPr>
        <w:pStyle w:val="FirstParagraph"/>
      </w:pPr>
      <w:r>
        <w:t xml:space="preserve">Data will be collected at a sampling rate of 10 kHz using a high-precision data acquisition system. The Aerospace Engineer must ensure that all data is backed up in real-time to a secure server located within the United Kingdom Birmingham facility to prevent data loss.</w:t>
      </w:r>
    </w:p>
    <w:bookmarkEnd w:id="26"/>
    <w:bookmarkEnd w:id="27"/>
    <w:bookmarkStart w:id="28" w:name="safety-procedures"/>
    <w:p>
      <w:pPr>
        <w:pStyle w:val="Heading2"/>
      </w:pPr>
      <w:r>
        <w:t xml:space="preserve">5. Safety Procedures</w:t>
      </w:r>
    </w:p>
    <w:p>
      <w:pPr>
        <w:pStyle w:val="FirstParagraph"/>
      </w:pPr>
      <w:r>
        <w:t xml:space="preserve">Safety is paramount in any aerospace engineering experiment. The following procedures must be strictly adhered to:</w:t>
      </w:r>
    </w:p>
    <w:p>
      <w:pPr>
        <w:numPr>
          <w:ilvl w:val="0"/>
          <w:numId w:val="1002"/>
        </w:numPr>
        <w:pStyle w:val="Compact"/>
      </w:pPr>
      <w:r>
        <w:t xml:space="preserve">All personnel must wear appropriate personal protective equipment (PPE), including safety glasses, steel-toed boots, and high-visibility vests.</w:t>
      </w:r>
    </w:p>
    <w:p>
      <w:pPr>
        <w:numPr>
          <w:ilvl w:val="0"/>
          <w:numId w:val="1002"/>
        </w:numPr>
        <w:pStyle w:val="Compact"/>
      </w:pPr>
      <w:r>
        <w:t xml:space="preserve">The testing area must be cordoned off with safety barriers to prevent unauthorized access during high-load testing.</w:t>
      </w:r>
    </w:p>
    <w:p>
      <w:pPr>
        <w:numPr>
          <w:ilvl w:val="0"/>
          <w:numId w:val="1002"/>
        </w:numPr>
        <w:pStyle w:val="Compact"/>
      </w:pPr>
      <w:r>
        <w:t xml:space="preserve">An emergency stop button must be accessible at all times to halt the experiment in case of equipment failure or safety hazards.</w:t>
      </w:r>
    </w:p>
    <w:p>
      <w:pPr>
        <w:numPr>
          <w:ilvl w:val="0"/>
          <w:numId w:val="1002"/>
        </w:numPr>
        <w:pStyle w:val="Compact"/>
      </w:pPr>
      <w:r>
        <w:t xml:space="preserve">The Aerospace Engineer must conduct a risk assessment prior to each test session, identifying potential hazards and implementing control measures.</w:t>
      </w:r>
    </w:p>
    <w:bookmarkEnd w:id="28"/>
    <w:bookmarkStart w:id="29" w:name="data-analysis-and-reporting"/>
    <w:p>
      <w:pPr>
        <w:pStyle w:val="Heading2"/>
      </w:pPr>
      <w:r>
        <w:t xml:space="preserve">6. Data Analysis and Reporting</w:t>
      </w:r>
    </w:p>
    <w:p>
      <w:pPr>
        <w:pStyle w:val="FirstParagraph"/>
      </w:pPr>
      <w:r>
        <w:t xml:space="preserve">Upon completion of the fatigue testing, the Aerospace Engineer will analyze the collected data to determine the fatigue life of the CFRP wing spar components. The analysis will include:</w:t>
      </w:r>
    </w:p>
    <w:p>
      <w:pPr>
        <w:numPr>
          <w:ilvl w:val="0"/>
          <w:numId w:val="1003"/>
        </w:numPr>
        <w:pStyle w:val="Compact"/>
      </w:pPr>
      <w:r>
        <w:t xml:space="preserve">Generation of S-N curves (Stress vs. Number of cycles to failure).</w:t>
      </w:r>
    </w:p>
    <w:p>
      <w:pPr>
        <w:numPr>
          <w:ilvl w:val="0"/>
          <w:numId w:val="1003"/>
        </w:numPr>
        <w:pStyle w:val="Compact"/>
      </w:pPr>
      <w:r>
        <w:t xml:space="preserve">Identification of failure modes using post-test NDT and visual inspection.</w:t>
      </w:r>
    </w:p>
    <w:p>
      <w:pPr>
        <w:numPr>
          <w:ilvl w:val="0"/>
          <w:numId w:val="1003"/>
        </w:numPr>
        <w:pStyle w:val="Compact"/>
      </w:pPr>
      <w:r>
        <w:t xml:space="preserve">Statistical analysis of the data to determine the reliability of the components.</w:t>
      </w:r>
    </w:p>
    <w:p>
      <w:pPr>
        <w:pStyle w:val="FirstParagraph"/>
      </w:pPr>
      <w:r>
        <w:t xml:space="preserve">A comprehensive report will be prepared, detailing the experimental setup, methodology, results, and conclusions. This report will be submitted to the relevant stakeholders, including the UK Civil Aviation Authority, to support the certification process.</w:t>
      </w:r>
    </w:p>
    <w:bookmarkEnd w:id="29"/>
    <w:bookmarkStart w:id="30" w:name="conclusion"/>
    <w:p>
      <w:pPr>
        <w:pStyle w:val="Heading2"/>
      </w:pPr>
      <w:r>
        <w:t xml:space="preserve">7. Conclusion</w:t>
      </w:r>
    </w:p>
    <w:p>
      <w:pPr>
        <w:pStyle w:val="FirstParagraph"/>
      </w:pPr>
      <w:r>
        <w:t xml:space="preserve">This Experiment Protocol provides a detailed framework for the fatigue testing of CFRP wing spar components. By adhering to the procedures outlined in this document, the Aerospace Engineer ensures that the experiment is conducted with the highest level of rigor and compliance. The successful execution of this protocol in United Kingdom Birmingham will contribute significantly to the advancement of aerospace technology and the safety of air travel.</w:t>
      </w:r>
    </w:p>
    <w:bookmarkEnd w:id="30"/>
    <w:p>
      <w:pPr>
        <w:pStyle w:val="BodyText"/>
      </w:pPr>
      <w:r>
        <w:rPr>
          <w:bCs/>
          <w:b/>
        </w:rPr>
        <w:t xml:space="preserve">Approved By:</w:t>
      </w:r>
      <w:r>
        <w:t xml:space="preserve"> </w:t>
      </w:r>
      <w:r>
        <w:t xml:space="preserve">Dr. Eleanor Vance, Senior Aerospace Engineer</w:t>
      </w:r>
    </w:p>
    <w:p>
      <w:pPr>
        <w:pStyle w:val="BodyText"/>
      </w:pPr>
      <w:r>
        <w:rPr>
          <w:bCs/>
          <w:b/>
        </w:rPr>
        <w:t xml:space="preserve">Facility:</w:t>
      </w:r>
      <w:r>
        <w:t xml:space="preserve"> </w:t>
      </w:r>
      <w:r>
        <w:t xml:space="preserve">Birmingham Aerospace Testing Centre, United Kingdom Birmingham</w:t>
      </w:r>
    </w:p>
    <w:p>
      <w:pPr>
        <w:pStyle w:val="BodyText"/>
      </w:pP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Composite Fatigue Testing</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