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Validation</w:t>
      </w:r>
    </w:p>
    <w:bookmarkStart w:id="20" w:name="Xfe5cd11542531f6b7ac30346b43ea77a9e322f9"/>
    <w:p>
      <w:pPr>
        <w:pStyle w:val="Heading1"/>
      </w:pPr>
      <w:r>
        <w:t xml:space="preserve">Experiment Protocol: Aerospace Engineering Validation</w:t>
      </w:r>
    </w:p>
    <w:p>
      <w:pPr>
        <w:pStyle w:val="FirstParagraph"/>
      </w:pPr>
      <w:r>
        <w:rPr>
          <w:bCs/>
          <w:b/>
        </w:rPr>
        <w:t xml:space="preserve">Location:</w:t>
      </w:r>
      <w:r>
        <w:t xml:space="preserve"> </w:t>
      </w:r>
      <w:r>
        <w:t xml:space="preserve">United Kingdom, London</w:t>
      </w:r>
    </w:p>
    <w:p>
      <w:pPr>
        <w:pStyle w:val="BodyText"/>
      </w:pPr>
      <w:r>
        <w:rPr>
          <w:bCs/>
          <w:b/>
        </w:rPr>
        <w:t xml:space="preserve">Prepared by:</w:t>
      </w:r>
      <w:r>
        <w:t xml:space="preserve"> </w:t>
      </w:r>
      <w:r>
        <w:t xml:space="preserve">Aerospace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an Aerospace Engineer conducting experimental validation tests in London, United Kingdom. The primary objective is to ensure that all experiments adhere to the highest standards of safety, accuracy, and regulatory compliance as required by UK aviation authorities and international aerospace standards.</w:t>
      </w:r>
    </w:p>
    <w:bookmarkEnd w:id="21"/>
    <w:bookmarkStart w:id="22" w:name="objectives"/>
    <w:p>
      <w:pPr>
        <w:pStyle w:val="Heading2"/>
      </w:pPr>
      <w:r>
        <w:t xml:space="preserve">2. Objectives</w:t>
      </w:r>
    </w:p>
    <w:p>
      <w:pPr>
        <w:pStyle w:val="FirstParagraph"/>
      </w:pPr>
      <w:r>
        <w:t xml:space="preserve">The key objectives of this protocol are:</w:t>
      </w:r>
    </w:p>
    <w:p>
      <w:pPr>
        <w:numPr>
          <w:ilvl w:val="0"/>
          <w:numId w:val="1001"/>
        </w:numPr>
        <w:pStyle w:val="Compact"/>
      </w:pPr>
      <w:r>
        <w:t xml:space="preserve">To validate the performance and reliability of aerospace components under controlled conditions.</w:t>
      </w:r>
    </w:p>
    <w:p>
      <w:pPr>
        <w:numPr>
          <w:ilvl w:val="0"/>
          <w:numId w:val="1001"/>
        </w:numPr>
        <w:pStyle w:val="Compact"/>
      </w:pPr>
      <w:r>
        <w:t xml:space="preserve">To ensure compliance with UK and European aerospace regulations.</w:t>
      </w:r>
    </w:p>
    <w:p>
      <w:pPr>
        <w:numPr>
          <w:ilvl w:val="0"/>
          <w:numId w:val="1001"/>
        </w:numPr>
        <w:pStyle w:val="Compact"/>
      </w:pPr>
      <w:r>
        <w:t xml:space="preserve">To provide a structured framework for data collection, analysis, and reporting.</w:t>
      </w:r>
    </w:p>
    <w:p>
      <w:pPr>
        <w:numPr>
          <w:ilvl w:val="0"/>
          <w:numId w:val="1001"/>
        </w:numPr>
        <w:pStyle w:val="Compact"/>
      </w:pPr>
      <w:r>
        <w:t xml:space="preserve">To maintain safety standards for personnel and equipment in the London test facility.</w:t>
      </w:r>
    </w:p>
    <w:bookmarkEnd w:id="22"/>
    <w:bookmarkStart w:id="23" w:name="scope"/>
    <w:p>
      <w:pPr>
        <w:pStyle w:val="Heading2"/>
      </w:pPr>
      <w:r>
        <w:t xml:space="preserve">3. Scope</w:t>
      </w:r>
    </w:p>
    <w:p>
      <w:pPr>
        <w:pStyle w:val="FirstParagraph"/>
      </w:pPr>
      <w:r>
        <w:t xml:space="preserve">This protocol applies to all experimental activities conducted by Aerospace Engineers within the designated testing facilities in London, United Kingdom. It covers wind tunnel testing, material stress analysis, propulsion system evaluations, and avionics integration tests.</w:t>
      </w:r>
    </w:p>
    <w:bookmarkEnd w:id="23"/>
    <w:bookmarkStart w:id="24" w:name="responsibilities"/>
    <w:p>
      <w:pPr>
        <w:pStyle w:val="Heading2"/>
      </w:pPr>
      <w:r>
        <w:t xml:space="preserve">4. Responsibilities</w:t>
      </w:r>
    </w:p>
    <w:p>
      <w:pPr>
        <w:pStyle w:val="FirstParagraph"/>
      </w:pPr>
      <w:r>
        <w:t xml:space="preserve">The Aerospace Engineer is responsible for:</w:t>
      </w:r>
    </w:p>
    <w:p>
      <w:pPr>
        <w:numPr>
          <w:ilvl w:val="0"/>
          <w:numId w:val="1002"/>
        </w:numPr>
        <w:pStyle w:val="Compact"/>
      </w:pPr>
      <w:r>
        <w:t xml:space="preserve">Designing and executing experiments in accordance with this protocol.</w:t>
      </w:r>
    </w:p>
    <w:p>
      <w:pPr>
        <w:numPr>
          <w:ilvl w:val="0"/>
          <w:numId w:val="1002"/>
        </w:numPr>
        <w:pStyle w:val="Compact"/>
      </w:pPr>
      <w:r>
        <w:t xml:space="preserve">Ensuring all equipment is calibrated and maintained.</w:t>
      </w:r>
    </w:p>
    <w:p>
      <w:pPr>
        <w:numPr>
          <w:ilvl w:val="0"/>
          <w:numId w:val="1002"/>
        </w:numPr>
        <w:pStyle w:val="Compact"/>
      </w:pPr>
      <w:r>
        <w:t xml:space="preserve">Recording and analyzing data accurately.</w:t>
      </w:r>
    </w:p>
    <w:p>
      <w:pPr>
        <w:numPr>
          <w:ilvl w:val="0"/>
          <w:numId w:val="1002"/>
        </w:numPr>
        <w:pStyle w:val="Compact"/>
      </w:pPr>
      <w:r>
        <w:t xml:space="preserve">Reporting any deviations or incidents immediately.</w:t>
      </w:r>
    </w:p>
    <w:bookmarkEnd w:id="24"/>
    <w:bookmarkStart w:id="25" w:name="safety-procedures"/>
    <w:p>
      <w:pPr>
        <w:pStyle w:val="Heading2"/>
      </w:pPr>
      <w:r>
        <w:t xml:space="preserve">5. Safety Procedures</w:t>
      </w:r>
    </w:p>
    <w:p>
      <w:pPr>
        <w:pStyle w:val="FirstParagraph"/>
      </w:pPr>
      <w:r>
        <w:t xml:space="preserve">All experiments must adhere to the following safety guidelines:</w:t>
      </w:r>
    </w:p>
    <w:p>
      <w:pPr>
        <w:numPr>
          <w:ilvl w:val="0"/>
          <w:numId w:val="1003"/>
        </w:numPr>
        <w:pStyle w:val="Compact"/>
      </w:pPr>
      <w:r>
        <w:t xml:space="preserve">Personal Protective Equipment (PPE) must be worn at all times.</w:t>
      </w:r>
    </w:p>
    <w:p>
      <w:pPr>
        <w:numPr>
          <w:ilvl w:val="0"/>
          <w:numId w:val="1003"/>
        </w:numPr>
        <w:pStyle w:val="Compact"/>
      </w:pPr>
      <w:r>
        <w:t xml:space="preserve">Emergency shutdown procedures must be clearly marked and accessible.</w:t>
      </w:r>
    </w:p>
    <w:p>
      <w:pPr>
        <w:numPr>
          <w:ilvl w:val="0"/>
          <w:numId w:val="1003"/>
        </w:numPr>
        <w:pStyle w:val="Compact"/>
      </w:pPr>
      <w:r>
        <w:t xml:space="preserve">Regular safety briefings must be conducted before each experiment.</w:t>
      </w:r>
    </w:p>
    <w:p>
      <w:pPr>
        <w:numPr>
          <w:ilvl w:val="0"/>
          <w:numId w:val="1003"/>
        </w:numPr>
        <w:pStyle w:val="Compact"/>
      </w:pPr>
      <w:r>
        <w:t xml:space="preserve">Compliance with UK Health and Safety Executive (HSE) regulations is mandatory.</w:t>
      </w:r>
    </w:p>
    <w:bookmarkEnd w:id="25"/>
    <w:bookmarkStart w:id="26" w:name="equipment-and-materials"/>
    <w:p>
      <w:pPr>
        <w:pStyle w:val="Heading2"/>
      </w:pPr>
      <w:r>
        <w:t xml:space="preserve">6. Equipment and Materials</w:t>
      </w:r>
    </w:p>
    <w:p>
      <w:pPr>
        <w:pStyle w:val="FirstParagraph"/>
      </w:pPr>
      <w:r>
        <w:t xml:space="preserve">The following equipment and materials are required for the experiments:</w:t>
      </w:r>
    </w:p>
    <w:p>
      <w:pPr>
        <w:numPr>
          <w:ilvl w:val="0"/>
          <w:numId w:val="1004"/>
        </w:numPr>
        <w:pStyle w:val="Compact"/>
      </w:pPr>
      <w:r>
        <w:t xml:space="preserve">Wind tunnel facilities with calibrated sensors.</w:t>
      </w:r>
    </w:p>
    <w:p>
      <w:pPr>
        <w:numPr>
          <w:ilvl w:val="0"/>
          <w:numId w:val="1004"/>
        </w:numPr>
        <w:pStyle w:val="Compact"/>
      </w:pPr>
      <w:r>
        <w:t xml:space="preserve">Material testing machines for stress and fatigue analysis.</w:t>
      </w:r>
    </w:p>
    <w:p>
      <w:pPr>
        <w:numPr>
          <w:ilvl w:val="0"/>
          <w:numId w:val="1004"/>
        </w:numPr>
        <w:pStyle w:val="Compact"/>
      </w:pPr>
      <w:r>
        <w:t xml:space="preserve">Propulsion test rigs with exhaust monitoring systems.</w:t>
      </w:r>
    </w:p>
    <w:p>
      <w:pPr>
        <w:numPr>
          <w:ilvl w:val="0"/>
          <w:numId w:val="1004"/>
        </w:numPr>
        <w:pStyle w:val="Compact"/>
      </w:pPr>
      <w:r>
        <w:t xml:space="preserve">Avionics testing benches with simulation software.</w:t>
      </w:r>
    </w:p>
    <w:bookmarkEnd w:id="26"/>
    <w:bookmarkStart w:id="27" w:name="experimental-procedures"/>
    <w:p>
      <w:pPr>
        <w:pStyle w:val="Heading2"/>
      </w:pPr>
      <w:r>
        <w:t xml:space="preserve">7. Experimental Procedures</w:t>
      </w:r>
    </w:p>
    <w:p>
      <w:pPr>
        <w:pStyle w:val="FirstParagraph"/>
      </w:pPr>
      <w:r>
        <w:t xml:space="preserve">Each experiment must follow these steps:</w:t>
      </w:r>
    </w:p>
    <w:p>
      <w:pPr>
        <w:numPr>
          <w:ilvl w:val="0"/>
          <w:numId w:val="1005"/>
        </w:numPr>
        <w:pStyle w:val="Compact"/>
      </w:pPr>
      <w:r>
        <w:t xml:space="preserve">Review the experimental design and objectives.</w:t>
      </w:r>
    </w:p>
    <w:p>
      <w:pPr>
        <w:numPr>
          <w:ilvl w:val="0"/>
          <w:numId w:val="1005"/>
        </w:numPr>
        <w:pStyle w:val="Compact"/>
      </w:pPr>
      <w:r>
        <w:t xml:space="preserve">Calibrate all equipment and verify settings.</w:t>
      </w:r>
    </w:p>
    <w:p>
      <w:pPr>
        <w:numPr>
          <w:ilvl w:val="0"/>
          <w:numId w:val="1005"/>
        </w:numPr>
        <w:pStyle w:val="Compact"/>
      </w:pPr>
      <w:r>
        <w:t xml:space="preserve">Conduct a pre-test safety check.</w:t>
      </w:r>
    </w:p>
    <w:p>
      <w:pPr>
        <w:numPr>
          <w:ilvl w:val="0"/>
          <w:numId w:val="1005"/>
        </w:numPr>
        <w:pStyle w:val="Compact"/>
      </w:pPr>
      <w:r>
        <w:t xml:space="preserve">Execute the experiment according to the predefined parameters.</w:t>
      </w:r>
    </w:p>
    <w:p>
      <w:pPr>
        <w:numPr>
          <w:ilvl w:val="0"/>
          <w:numId w:val="1005"/>
        </w:numPr>
        <w:pStyle w:val="Compact"/>
      </w:pPr>
      <w:r>
        <w:t xml:space="preserve">Record all data systematically.</w:t>
      </w:r>
    </w:p>
    <w:p>
      <w:pPr>
        <w:numPr>
          <w:ilvl w:val="0"/>
          <w:numId w:val="1005"/>
        </w:numPr>
        <w:pStyle w:val="Compact"/>
      </w:pPr>
      <w:r>
        <w:t xml:space="preserve">Perform post-test analysis and document findings.</w:t>
      </w:r>
    </w:p>
    <w:bookmarkEnd w:id="27"/>
    <w:bookmarkStart w:id="28" w:name="data-collection-and-analysis"/>
    <w:p>
      <w:pPr>
        <w:pStyle w:val="Heading2"/>
      </w:pPr>
      <w:r>
        <w:t xml:space="preserve">8. Data Collection and Analysis</w:t>
      </w:r>
    </w:p>
    <w:p>
      <w:pPr>
        <w:pStyle w:val="FirstParagraph"/>
      </w:pPr>
      <w:r>
        <w:t xml:space="preserve">Data must be collected using standardized formats and stored securely. Analysis should be performed using validated software tools. All results must be reviewed by a senior Aerospace Engineer before being included in final reports.</w:t>
      </w:r>
    </w:p>
    <w:bookmarkEnd w:id="28"/>
    <w:bookmarkStart w:id="29" w:name="reporting"/>
    <w:p>
      <w:pPr>
        <w:pStyle w:val="Heading2"/>
      </w:pPr>
      <w:r>
        <w:t xml:space="preserve">9. Reporting</w:t>
      </w:r>
    </w:p>
    <w:p>
      <w:pPr>
        <w:pStyle w:val="FirstParagraph"/>
      </w:pPr>
      <w:r>
        <w:t xml:space="preserve">A detailed report must be submitted after each experiment, including:</w:t>
      </w:r>
    </w:p>
    <w:p>
      <w:pPr>
        <w:numPr>
          <w:ilvl w:val="0"/>
          <w:numId w:val="1006"/>
        </w:numPr>
        <w:pStyle w:val="Compact"/>
      </w:pPr>
      <w:r>
        <w:t xml:space="preserve">Objectives and methodology.</w:t>
      </w:r>
    </w:p>
    <w:p>
      <w:pPr>
        <w:numPr>
          <w:ilvl w:val="0"/>
          <w:numId w:val="1006"/>
        </w:numPr>
        <w:pStyle w:val="Compact"/>
      </w:pPr>
      <w:r>
        <w:t xml:space="preserve">Data collected and analysis performed.</w:t>
      </w:r>
    </w:p>
    <w:p>
      <w:pPr>
        <w:numPr>
          <w:ilvl w:val="0"/>
          <w:numId w:val="1006"/>
        </w:numPr>
        <w:pStyle w:val="Compact"/>
      </w:pPr>
      <w:r>
        <w:t xml:space="preserve">Conclusions and recommendations.</w:t>
      </w:r>
    </w:p>
    <w:p>
      <w:pPr>
        <w:numPr>
          <w:ilvl w:val="0"/>
          <w:numId w:val="1006"/>
        </w:numPr>
        <w:pStyle w:val="Compact"/>
      </w:pPr>
      <w:r>
        <w:t xml:space="preserve">Any deviations from the protocol and their impact.</w:t>
      </w:r>
    </w:p>
    <w:bookmarkEnd w:id="29"/>
    <w:bookmarkStart w:id="30" w:name="compliance-and-quality-assurance"/>
    <w:p>
      <w:pPr>
        <w:pStyle w:val="Heading2"/>
      </w:pPr>
      <w:r>
        <w:t xml:space="preserve">10. Compliance and Quality Assurance</w:t>
      </w:r>
    </w:p>
    <w:p>
      <w:pPr>
        <w:pStyle w:val="FirstParagraph"/>
      </w:pPr>
      <w:r>
        <w:t xml:space="preserve">All experiments must comply with:</w:t>
      </w:r>
    </w:p>
    <w:p>
      <w:pPr>
        <w:numPr>
          <w:ilvl w:val="0"/>
          <w:numId w:val="1007"/>
        </w:numPr>
        <w:pStyle w:val="Compact"/>
      </w:pPr>
      <w:r>
        <w:t xml:space="preserve">UK Civil Aviation Authority (CAA) regulations.</w:t>
      </w:r>
    </w:p>
    <w:p>
      <w:pPr>
        <w:numPr>
          <w:ilvl w:val="0"/>
          <w:numId w:val="1007"/>
        </w:numPr>
        <w:pStyle w:val="Compact"/>
      </w:pPr>
      <w:r>
        <w:t xml:space="preserve">European Union Aviation Safety Agency (EASA) standards.</w:t>
      </w:r>
    </w:p>
    <w:p>
      <w:pPr>
        <w:numPr>
          <w:ilvl w:val="0"/>
          <w:numId w:val="1007"/>
        </w:numPr>
        <w:pStyle w:val="Compact"/>
      </w:pPr>
      <w:r>
        <w:t xml:space="preserve">ISO 9001 quality management systems.</w:t>
      </w:r>
    </w:p>
    <w:bookmarkEnd w:id="30"/>
    <w:bookmarkStart w:id="31" w:name="conclusion"/>
    <w:p>
      <w:pPr>
        <w:pStyle w:val="Heading2"/>
      </w:pPr>
      <w:r>
        <w:t xml:space="preserve">11. Conclusion</w:t>
      </w:r>
    </w:p>
    <w:p>
      <w:pPr>
        <w:pStyle w:val="FirstParagraph"/>
      </w:pPr>
      <w:r>
        <w:t xml:space="preserve">This Experiment Protocol provides a comprehensive framework for Aerospace Engineers conducting experimental validation in London, United Kingdom. Adherence to this protocol ensures the integrity, safety, and reliability of all aerospace engineering experiments.</w:t>
      </w:r>
    </w:p>
    <w:bookmarkEnd w:id="31"/>
    <w:p>
      <w:pPr>
        <w:pStyle w:val="BodyText"/>
      </w:pPr>
      <w:r>
        <w:t xml:space="preserve">Document Version: 1.0 | Last Updated: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Validation</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