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AP-HOU-2023-001</w:t>
      </w:r>
    </w:p>
    <w:p>
      <w:pPr>
        <w:pStyle w:val="BodyText"/>
      </w:pPr>
      <w:r>
        <w:rPr>
          <w:bCs/>
          <w:b/>
        </w:rPr>
        <w:t xml:space="preserve">Location:</w:t>
      </w:r>
      <w:r>
        <w:t xml:space="preserve"> </w:t>
      </w:r>
      <w:r>
        <w:t xml:space="preserve">United States Houston, Texas</w:t>
      </w:r>
    </w:p>
    <w:p>
      <w:pPr>
        <w:pStyle w:val="BodyText"/>
      </w:pPr>
      <w:r>
        <w:rPr>
          <w:bCs/>
          <w:b/>
        </w:rPr>
        <w:t xml:space="preserve">Prepared by:</w:t>
      </w:r>
      <w:r>
        <w:t xml:space="preserve"> </w:t>
      </w:r>
      <w:r>
        <w:t xml:space="preserve">Aerospace Engineer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aerospace engineering experiments in the United States Houston area. The primary objective is to ensure the safety, accuracy, and reliability of all experimental activities performed by Aerospace Engineers in this region. Houston, known as the "Space City," is a hub for aerospace innovation and research, making it essential to adhere to strict protocols to maintain the highest standards of excellence.</w:t>
      </w:r>
    </w:p>
    <w:bookmarkEnd w:id="21"/>
    <w:bookmarkStart w:id="22" w:name="purpose"/>
    <w:p>
      <w:pPr>
        <w:pStyle w:val="Heading2"/>
      </w:pPr>
      <w:r>
        <w:t xml:space="preserve">2. Purpose</w:t>
      </w:r>
    </w:p>
    <w:p>
      <w:pPr>
        <w:pStyle w:val="FirstParagraph"/>
      </w:pPr>
      <w:r>
        <w:t xml:space="preserve">The purpose of this Experiment Protocol is to provide a comprehensive framework for Aerospace Engineers working in the United States Houston area. This document aims to:</w:t>
      </w:r>
    </w:p>
    <w:p>
      <w:pPr>
        <w:numPr>
          <w:ilvl w:val="0"/>
          <w:numId w:val="1001"/>
        </w:numPr>
        <w:pStyle w:val="Compact"/>
      </w:pPr>
      <w:r>
        <w:t xml:space="preserve">Ensure the safety of personnel and equipment during experiments.</w:t>
      </w:r>
    </w:p>
    <w:p>
      <w:pPr>
        <w:numPr>
          <w:ilvl w:val="0"/>
          <w:numId w:val="1001"/>
        </w:numPr>
        <w:pStyle w:val="Compact"/>
      </w:pPr>
      <w:r>
        <w:t xml:space="preserve">Maintain the integrity and accuracy of experimental data.</w:t>
      </w:r>
    </w:p>
    <w:p>
      <w:pPr>
        <w:numPr>
          <w:ilvl w:val="0"/>
          <w:numId w:val="1001"/>
        </w:numPr>
        <w:pStyle w:val="Compact"/>
      </w:pPr>
      <w:r>
        <w:t xml:space="preserve">Comply with local, state, and federal regulations.</w:t>
      </w:r>
    </w:p>
    <w:p>
      <w:pPr>
        <w:numPr>
          <w:ilvl w:val="0"/>
          <w:numId w:val="1001"/>
        </w:numPr>
        <w:pStyle w:val="Compact"/>
      </w:pPr>
      <w:r>
        <w:t xml:space="preserve">Facilitate collaboration and communication among team members.</w:t>
      </w:r>
    </w:p>
    <w:p>
      <w:pPr>
        <w:numPr>
          <w:ilvl w:val="0"/>
          <w:numId w:val="1001"/>
        </w:numPr>
        <w:pStyle w:val="Compact"/>
      </w:pPr>
      <w:r>
        <w:t xml:space="preserve">Promote best practices in aerospace engineering research and development.</w:t>
      </w:r>
    </w:p>
    <w:bookmarkEnd w:id="22"/>
    <w:bookmarkStart w:id="23" w:name="scope"/>
    <w:p>
      <w:pPr>
        <w:pStyle w:val="Heading2"/>
      </w:pPr>
      <w:r>
        <w:t xml:space="preserve">3. Scope</w:t>
      </w:r>
    </w:p>
    <w:p>
      <w:pPr>
        <w:pStyle w:val="FirstParagraph"/>
      </w:pPr>
      <w:r>
        <w:t xml:space="preserve">This Experiment Protocol applies to all Aerospace Engineers and related personnel conducting experiments in the United States Houston area. It covers a wide range of activities, including but not limited to:</w:t>
      </w:r>
    </w:p>
    <w:p>
      <w:pPr>
        <w:numPr>
          <w:ilvl w:val="0"/>
          <w:numId w:val="1002"/>
        </w:numPr>
        <w:pStyle w:val="Compact"/>
      </w:pPr>
      <w:r>
        <w:t xml:space="preserve">Aerodynamic testing</w:t>
      </w:r>
    </w:p>
    <w:p>
      <w:pPr>
        <w:numPr>
          <w:ilvl w:val="0"/>
          <w:numId w:val="1002"/>
        </w:numPr>
        <w:pStyle w:val="Compact"/>
      </w:pPr>
      <w:r>
        <w:t xml:space="preserve">Propulsion system evaluations</w:t>
      </w:r>
    </w:p>
    <w:p>
      <w:pPr>
        <w:numPr>
          <w:ilvl w:val="0"/>
          <w:numId w:val="1002"/>
        </w:numPr>
        <w:pStyle w:val="Compact"/>
      </w:pPr>
      <w:r>
        <w:t xml:space="preserve">Structural integrity assessments</w:t>
      </w:r>
    </w:p>
    <w:p>
      <w:pPr>
        <w:numPr>
          <w:ilvl w:val="0"/>
          <w:numId w:val="1002"/>
        </w:numPr>
        <w:pStyle w:val="Compact"/>
      </w:pPr>
      <w:r>
        <w:t xml:space="preserve">Avionics and control system testing</w:t>
      </w:r>
    </w:p>
    <w:p>
      <w:pPr>
        <w:numPr>
          <w:ilvl w:val="0"/>
          <w:numId w:val="1002"/>
        </w:numPr>
        <w:pStyle w:val="Compact"/>
      </w:pPr>
      <w:r>
        <w:t xml:space="preserve">Environmental and thermal testing</w:t>
      </w:r>
    </w:p>
    <w:bookmarkEnd w:id="23"/>
    <w:bookmarkStart w:id="24" w:name="responsibilities"/>
    <w:p>
      <w:pPr>
        <w:pStyle w:val="Heading2"/>
      </w:pPr>
      <w:r>
        <w:t xml:space="preserve">4. Responsibilities</w:t>
      </w:r>
    </w:p>
    <w:p>
      <w:pPr>
        <w:pStyle w:val="FirstParagraph"/>
      </w:pPr>
      <w:r>
        <w:rPr>
          <w:bCs/>
          <w:b/>
        </w:rPr>
        <w:t xml:space="preserve">4.1 Aerospace Engineer</w:t>
      </w:r>
    </w:p>
    <w:p>
      <w:pPr>
        <w:pStyle w:val="BodyText"/>
      </w:pPr>
      <w:r>
        <w:t xml:space="preserve">The Aerospace Engineer is responsible for:</w:t>
      </w:r>
    </w:p>
    <w:p>
      <w:pPr>
        <w:numPr>
          <w:ilvl w:val="0"/>
          <w:numId w:val="1003"/>
        </w:numPr>
        <w:pStyle w:val="Compact"/>
      </w:pPr>
      <w:r>
        <w:t xml:space="preserve">Designing and planning experiments in accordance with this protocol.</w:t>
      </w:r>
    </w:p>
    <w:p>
      <w:pPr>
        <w:numPr>
          <w:ilvl w:val="0"/>
          <w:numId w:val="1003"/>
        </w:numPr>
        <w:pStyle w:val="Compact"/>
      </w:pPr>
      <w:r>
        <w:t xml:space="preserve">Ensuring all safety measures are in place before commencing any experiment.</w:t>
      </w:r>
    </w:p>
    <w:p>
      <w:pPr>
        <w:numPr>
          <w:ilvl w:val="0"/>
          <w:numId w:val="1003"/>
        </w:numPr>
        <w:pStyle w:val="Compact"/>
      </w:pPr>
      <w:r>
        <w:t xml:space="preserve">Accurately recording and documenting all experimental data.</w:t>
      </w:r>
    </w:p>
    <w:p>
      <w:pPr>
        <w:numPr>
          <w:ilvl w:val="0"/>
          <w:numId w:val="1003"/>
        </w:numPr>
        <w:pStyle w:val="Compact"/>
      </w:pPr>
      <w:r>
        <w:t xml:space="preserve">Reporting any incidents or deviations from the protocol immediately.</w:t>
      </w:r>
    </w:p>
    <w:p>
      <w:pPr>
        <w:numPr>
          <w:ilvl w:val="0"/>
          <w:numId w:val="1003"/>
        </w:numPr>
        <w:pStyle w:val="Compact"/>
      </w:pPr>
      <w:r>
        <w:t xml:space="preserve">Maintaining and calibrating all equipment used in the experiments.</w:t>
      </w:r>
    </w:p>
    <w:p>
      <w:pPr>
        <w:pStyle w:val="FirstParagraph"/>
      </w:pPr>
      <w:r>
        <w:rPr>
          <w:bCs/>
          <w:b/>
        </w:rPr>
        <w:t xml:space="preserve">4.2 Safety Officer</w:t>
      </w:r>
    </w:p>
    <w:p>
      <w:pPr>
        <w:pStyle w:val="BodyText"/>
      </w:pPr>
      <w:r>
        <w:t xml:space="preserve">The Safety Officer is responsible for:</w:t>
      </w:r>
    </w:p>
    <w:p>
      <w:pPr>
        <w:numPr>
          <w:ilvl w:val="0"/>
          <w:numId w:val="1004"/>
        </w:numPr>
        <w:pStyle w:val="Compact"/>
      </w:pPr>
      <w:r>
        <w:t xml:space="preserve">Conducting regular safety inspections and audits.</w:t>
      </w:r>
    </w:p>
    <w:p>
      <w:pPr>
        <w:numPr>
          <w:ilvl w:val="0"/>
          <w:numId w:val="1004"/>
        </w:numPr>
        <w:pStyle w:val="Compact"/>
      </w:pPr>
      <w:r>
        <w:t xml:space="preserve">Providing safety training to all personnel involved in the experiments.</w:t>
      </w:r>
    </w:p>
    <w:p>
      <w:pPr>
        <w:numPr>
          <w:ilvl w:val="0"/>
          <w:numId w:val="1004"/>
        </w:numPr>
        <w:pStyle w:val="Compact"/>
      </w:pPr>
      <w:r>
        <w:t xml:space="preserve">Ensuring compliance with all safety regulations and standards.</w:t>
      </w:r>
    </w:p>
    <w:p>
      <w:pPr>
        <w:numPr>
          <w:ilvl w:val="0"/>
          <w:numId w:val="1004"/>
        </w:numPr>
        <w:pStyle w:val="Compact"/>
      </w:pPr>
      <w:r>
        <w:t xml:space="preserve">Investigating any accidents or near-misses and implementing corrective actions.</w:t>
      </w:r>
    </w:p>
    <w:p>
      <w:pPr>
        <w:pStyle w:val="FirstParagraph"/>
      </w:pPr>
      <w:r>
        <w:rPr>
          <w:bCs/>
          <w:b/>
        </w:rPr>
        <w:t xml:space="preserve">4.3 Project Manager</w:t>
      </w:r>
    </w:p>
    <w:p>
      <w:pPr>
        <w:pStyle w:val="BodyText"/>
      </w:pPr>
      <w:r>
        <w:t xml:space="preserve">The Project Manager is responsible for:</w:t>
      </w:r>
    </w:p>
    <w:p>
      <w:pPr>
        <w:numPr>
          <w:ilvl w:val="0"/>
          <w:numId w:val="1005"/>
        </w:numPr>
        <w:pStyle w:val="Compact"/>
      </w:pPr>
      <w:r>
        <w:t xml:space="preserve">Overseeing the overall progress and coordination of the experiments.</w:t>
      </w:r>
    </w:p>
    <w:p>
      <w:pPr>
        <w:numPr>
          <w:ilvl w:val="0"/>
          <w:numId w:val="1005"/>
        </w:numPr>
        <w:pStyle w:val="Compact"/>
      </w:pPr>
      <w:r>
        <w:t xml:space="preserve">Ensuring that all resources are available and allocated appropriately.</w:t>
      </w:r>
    </w:p>
    <w:p>
      <w:pPr>
        <w:numPr>
          <w:ilvl w:val="0"/>
          <w:numId w:val="1005"/>
        </w:numPr>
        <w:pStyle w:val="Compact"/>
      </w:pPr>
      <w:r>
        <w:t xml:space="preserve">Facilitating communication between different teams and stakeholders.</w:t>
      </w:r>
    </w:p>
    <w:p>
      <w:pPr>
        <w:numPr>
          <w:ilvl w:val="0"/>
          <w:numId w:val="1005"/>
        </w:numPr>
        <w:pStyle w:val="Compact"/>
      </w:pPr>
      <w:r>
        <w:t xml:space="preserve">Reviewing and approving experimental plans and reports.</w:t>
      </w:r>
    </w:p>
    <w:bookmarkEnd w:id="24"/>
    <w:bookmarkStart w:id="25" w:name="experimental-procedures"/>
    <w:p>
      <w:pPr>
        <w:pStyle w:val="Heading2"/>
      </w:pPr>
      <w:r>
        <w:t xml:space="preserve">5. Experimental Procedures</w:t>
      </w:r>
    </w:p>
    <w:p>
      <w:pPr>
        <w:pStyle w:val="FirstParagraph"/>
      </w:pPr>
      <w:r>
        <w:rPr>
          <w:bCs/>
          <w:b/>
        </w:rPr>
        <w:t xml:space="preserve">5.1 Pre-Experiment Preparation</w:t>
      </w:r>
    </w:p>
    <w:p>
      <w:pPr>
        <w:numPr>
          <w:ilvl w:val="0"/>
          <w:numId w:val="1006"/>
        </w:numPr>
        <w:pStyle w:val="Compact"/>
      </w:pPr>
      <w:r>
        <w:t xml:space="preserve">Conduct a thorough risk assessment to identify potential hazards.</w:t>
      </w:r>
    </w:p>
    <w:p>
      <w:pPr>
        <w:numPr>
          <w:ilvl w:val="0"/>
          <w:numId w:val="1006"/>
        </w:numPr>
        <w:pStyle w:val="Compact"/>
      </w:pPr>
      <w:r>
        <w:t xml:space="preserve">Prepare a detailed experimental plan, including objectives, methods, and expected outcomes.</w:t>
      </w:r>
    </w:p>
    <w:p>
      <w:pPr>
        <w:numPr>
          <w:ilvl w:val="0"/>
          <w:numId w:val="1006"/>
        </w:numPr>
        <w:pStyle w:val="Compact"/>
      </w:pPr>
      <w:r>
        <w:t xml:space="preserve">Ensure all necessary permits and approvals are obtained.</w:t>
      </w:r>
    </w:p>
    <w:p>
      <w:pPr>
        <w:numPr>
          <w:ilvl w:val="0"/>
          <w:numId w:val="1006"/>
        </w:numPr>
        <w:pStyle w:val="Compact"/>
      </w:pPr>
      <w:r>
        <w:t xml:space="preserve">Verify that all equipment is in good working condition and properly calibrated.</w:t>
      </w:r>
    </w:p>
    <w:p>
      <w:pPr>
        <w:numPr>
          <w:ilvl w:val="0"/>
          <w:numId w:val="1006"/>
        </w:numPr>
        <w:pStyle w:val="Compact"/>
      </w:pPr>
      <w:r>
        <w:t xml:space="preserve">Brief all personnel on their roles and responsibilities.</w:t>
      </w:r>
    </w:p>
    <w:p>
      <w:pPr>
        <w:pStyle w:val="FirstParagraph"/>
      </w:pPr>
      <w:r>
        <w:rPr>
          <w:bCs/>
          <w:b/>
        </w:rPr>
        <w:t xml:space="preserve">5.2 During the Experiment</w:t>
      </w:r>
    </w:p>
    <w:p>
      <w:pPr>
        <w:numPr>
          <w:ilvl w:val="0"/>
          <w:numId w:val="1007"/>
        </w:numPr>
        <w:pStyle w:val="Compact"/>
      </w:pPr>
      <w:r>
        <w:t xml:space="preserve">Follow the experimental plan strictly and document any deviations.</w:t>
      </w:r>
    </w:p>
    <w:p>
      <w:pPr>
        <w:numPr>
          <w:ilvl w:val="0"/>
          <w:numId w:val="1007"/>
        </w:numPr>
        <w:pStyle w:val="Compact"/>
      </w:pPr>
      <w:r>
        <w:t xml:space="preserve">Monitor all safety systems and equipment continuously.</w:t>
      </w:r>
    </w:p>
    <w:p>
      <w:pPr>
        <w:numPr>
          <w:ilvl w:val="0"/>
          <w:numId w:val="1007"/>
        </w:numPr>
        <w:pStyle w:val="Compact"/>
      </w:pPr>
      <w:r>
        <w:t xml:space="preserve">Record all data accurately and in real-time.</w:t>
      </w:r>
    </w:p>
    <w:p>
      <w:pPr>
        <w:numPr>
          <w:ilvl w:val="0"/>
          <w:numId w:val="1007"/>
        </w:numPr>
        <w:pStyle w:val="Compact"/>
      </w:pPr>
      <w:r>
        <w:t xml:space="preserve">Maintain clear communication among all team members.</w:t>
      </w:r>
    </w:p>
    <w:p>
      <w:pPr>
        <w:numPr>
          <w:ilvl w:val="0"/>
          <w:numId w:val="1007"/>
        </w:numPr>
        <w:pStyle w:val="Compact"/>
      </w:pPr>
      <w:r>
        <w:t xml:space="preserve">Be prepared to abort the experiment if any safety concerns arise.</w:t>
      </w:r>
    </w:p>
    <w:p>
      <w:pPr>
        <w:pStyle w:val="FirstParagraph"/>
      </w:pPr>
      <w:r>
        <w:rPr>
          <w:bCs/>
          <w:b/>
        </w:rPr>
        <w:t xml:space="preserve">5.3 Post-Experiment Activities</w:t>
      </w:r>
    </w:p>
    <w:p>
      <w:pPr>
        <w:numPr>
          <w:ilvl w:val="0"/>
          <w:numId w:val="1008"/>
        </w:numPr>
        <w:pStyle w:val="Compact"/>
      </w:pPr>
      <w:r>
        <w:t xml:space="preserve">Secure all equipment and materials.</w:t>
      </w:r>
    </w:p>
    <w:p>
      <w:pPr>
        <w:numPr>
          <w:ilvl w:val="0"/>
          <w:numId w:val="1008"/>
        </w:numPr>
        <w:pStyle w:val="Compact"/>
      </w:pPr>
      <w:r>
        <w:t xml:space="preserve">Review and analyze the collected data.</w:t>
      </w:r>
    </w:p>
    <w:p>
      <w:pPr>
        <w:numPr>
          <w:ilvl w:val="0"/>
          <w:numId w:val="1008"/>
        </w:numPr>
        <w:pStyle w:val="Compact"/>
      </w:pPr>
      <w:r>
        <w:t xml:space="preserve">Prepare a comprehensive report detailing the experimental results and any observations.</w:t>
      </w:r>
    </w:p>
    <w:p>
      <w:pPr>
        <w:numPr>
          <w:ilvl w:val="0"/>
          <w:numId w:val="1008"/>
        </w:numPr>
        <w:pStyle w:val="Compact"/>
      </w:pPr>
      <w:r>
        <w:t xml:space="preserve">Conduct a debriefing session with all personnel to discuss the experiment's outcomes and lessons learned.</w:t>
      </w:r>
    </w:p>
    <w:p>
      <w:pPr>
        <w:numPr>
          <w:ilvl w:val="0"/>
          <w:numId w:val="1008"/>
        </w:numPr>
        <w:pStyle w:val="Compact"/>
      </w:pPr>
      <w:r>
        <w:t xml:space="preserve">Update the Experiment Protocol if necessary based on the findings.</w:t>
      </w:r>
    </w:p>
    <w:bookmarkEnd w:id="25"/>
    <w:bookmarkStart w:id="26" w:name="safety-guidelines"/>
    <w:p>
      <w:pPr>
        <w:pStyle w:val="Heading2"/>
      </w:pPr>
      <w:r>
        <w:t xml:space="preserve">6. Safety Guidelines</w:t>
      </w:r>
    </w:p>
    <w:p>
      <w:pPr>
        <w:pStyle w:val="FirstParagraph"/>
      </w:pPr>
      <w:r>
        <w:rPr>
          <w:bCs/>
          <w:b/>
        </w:rPr>
        <w:t xml:space="preserve">6.1 Personal Protective Equipment (PPE)</w:t>
      </w:r>
    </w:p>
    <w:p>
      <w:pPr>
        <w:pStyle w:val="BodyText"/>
      </w:pPr>
      <w:r>
        <w:t xml:space="preserve">All personnel must wear appropriate PPE, including but not limited to:</w:t>
      </w:r>
    </w:p>
    <w:p>
      <w:pPr>
        <w:numPr>
          <w:ilvl w:val="0"/>
          <w:numId w:val="1009"/>
        </w:numPr>
        <w:pStyle w:val="Compact"/>
      </w:pPr>
      <w:r>
        <w:t xml:space="preserve">Safety glasses</w:t>
      </w:r>
    </w:p>
    <w:p>
      <w:pPr>
        <w:numPr>
          <w:ilvl w:val="0"/>
          <w:numId w:val="1009"/>
        </w:numPr>
        <w:pStyle w:val="Compact"/>
      </w:pPr>
      <w:r>
        <w:t xml:space="preserve">Helmets</w:t>
      </w:r>
    </w:p>
    <w:p>
      <w:pPr>
        <w:numPr>
          <w:ilvl w:val="0"/>
          <w:numId w:val="1009"/>
        </w:numPr>
        <w:pStyle w:val="Compact"/>
      </w:pPr>
      <w:r>
        <w:t xml:space="preserve">Ear protection</w:t>
      </w:r>
    </w:p>
    <w:p>
      <w:pPr>
        <w:numPr>
          <w:ilvl w:val="0"/>
          <w:numId w:val="1009"/>
        </w:numPr>
        <w:pStyle w:val="Compact"/>
      </w:pPr>
      <w:r>
        <w:t xml:space="preserve">Fire-resistant clothing</w:t>
      </w:r>
    </w:p>
    <w:p>
      <w:pPr>
        <w:numPr>
          <w:ilvl w:val="0"/>
          <w:numId w:val="1009"/>
        </w:numPr>
        <w:pStyle w:val="Compact"/>
      </w:pPr>
      <w:r>
        <w:t xml:space="preserve">Safety shoes</w:t>
      </w:r>
    </w:p>
    <w:p>
      <w:pPr>
        <w:pStyle w:val="FirstParagraph"/>
      </w:pPr>
      <w:r>
        <w:rPr>
          <w:bCs/>
          <w:b/>
        </w:rPr>
        <w:t xml:space="preserve">6.2 Emergency Procedures</w:t>
      </w:r>
    </w:p>
    <w:p>
      <w:pPr>
        <w:pStyle w:val="BodyText"/>
      </w:pPr>
      <w:r>
        <w:t xml:space="preserve">In the event of an emergency:</w:t>
      </w:r>
    </w:p>
    <w:p>
      <w:pPr>
        <w:numPr>
          <w:ilvl w:val="0"/>
          <w:numId w:val="1010"/>
        </w:numPr>
        <w:pStyle w:val="Compact"/>
      </w:pPr>
      <w:r>
        <w:t xml:space="preserve">Activate the emergency alarm immediately.</w:t>
      </w:r>
    </w:p>
    <w:p>
      <w:pPr>
        <w:numPr>
          <w:ilvl w:val="0"/>
          <w:numId w:val="1010"/>
        </w:numPr>
        <w:pStyle w:val="Compact"/>
      </w:pPr>
      <w:r>
        <w:t xml:space="preserve">Evacuate the area following the designated evacuation routes.</w:t>
      </w:r>
    </w:p>
    <w:p>
      <w:pPr>
        <w:numPr>
          <w:ilvl w:val="0"/>
          <w:numId w:val="1010"/>
        </w:numPr>
        <w:pStyle w:val="Compact"/>
      </w:pPr>
      <w:r>
        <w:t xml:space="preserve">Assemble at the designated muster point.</w:t>
      </w:r>
    </w:p>
    <w:p>
      <w:pPr>
        <w:numPr>
          <w:ilvl w:val="0"/>
          <w:numId w:val="1010"/>
        </w:numPr>
        <w:pStyle w:val="Compact"/>
      </w:pPr>
      <w:r>
        <w:t xml:space="preserve">Report to the Safety Officer for a headcount and further instructions.</w:t>
      </w:r>
    </w:p>
    <w:p>
      <w:pPr>
        <w:pStyle w:val="FirstParagraph"/>
      </w:pPr>
      <w:r>
        <w:rPr>
          <w:bCs/>
          <w:b/>
        </w:rPr>
        <w:t xml:space="preserve">6.3 Hazardous Materials</w:t>
      </w:r>
    </w:p>
    <w:p>
      <w:pPr>
        <w:pStyle w:val="BodyText"/>
      </w:pPr>
      <w:r>
        <w:t xml:space="preserve">Handle all hazardous materials with care and in accordance with the Material Safety Data Sheets (MSDS). Ensure proper storage, labeling, and disposal of all hazardous substances.</w:t>
      </w:r>
    </w:p>
    <w:bookmarkEnd w:id="26"/>
    <w:bookmarkStart w:id="27" w:name="data-management"/>
    <w:p>
      <w:pPr>
        <w:pStyle w:val="Heading2"/>
      </w:pPr>
      <w:r>
        <w:t xml:space="preserve">7. Data Management</w:t>
      </w:r>
    </w:p>
    <w:p>
      <w:pPr>
        <w:pStyle w:val="FirstParagraph"/>
      </w:pPr>
      <w:r>
        <w:t xml:space="preserve">All experimental data must be recorded accurately and stored securely. Data should be:</w:t>
      </w:r>
    </w:p>
    <w:p>
      <w:pPr>
        <w:numPr>
          <w:ilvl w:val="0"/>
          <w:numId w:val="1011"/>
        </w:numPr>
        <w:pStyle w:val="Compact"/>
      </w:pPr>
      <w:r>
        <w:t xml:space="preserve">Organized in a clear and systematic manner.</w:t>
      </w:r>
    </w:p>
    <w:p>
      <w:pPr>
        <w:numPr>
          <w:ilvl w:val="0"/>
          <w:numId w:val="1011"/>
        </w:numPr>
        <w:pStyle w:val="Compact"/>
      </w:pPr>
      <w:r>
        <w:t xml:space="preserve">Backed up regularly to prevent loss.</w:t>
      </w:r>
    </w:p>
    <w:p>
      <w:pPr>
        <w:numPr>
          <w:ilvl w:val="0"/>
          <w:numId w:val="1011"/>
        </w:numPr>
        <w:pStyle w:val="Compact"/>
      </w:pPr>
      <w:r>
        <w:t xml:space="preserve">Accessible only to authorized personnel.</w:t>
      </w:r>
    </w:p>
    <w:p>
      <w:pPr>
        <w:numPr>
          <w:ilvl w:val="0"/>
          <w:numId w:val="1011"/>
        </w:numPr>
        <w:pStyle w:val="Compact"/>
      </w:pPr>
      <w:r>
        <w:t xml:space="preserve">Retained for a minimum of five years or as required by regulations.</w:t>
      </w:r>
    </w:p>
    <w:bookmarkEnd w:id="27"/>
    <w:bookmarkStart w:id="28" w:name="compliance-and-audits"/>
    <w:p>
      <w:pPr>
        <w:pStyle w:val="Heading2"/>
      </w:pPr>
      <w:r>
        <w:t xml:space="preserve">8. Compliance and Audits</w:t>
      </w:r>
    </w:p>
    <w:p>
      <w:pPr>
        <w:pStyle w:val="FirstParagraph"/>
      </w:pPr>
      <w:r>
        <w:t xml:space="preserve">This Experiment Protocol must be reviewed and updated annually or as needed to reflect changes in regulations, technology, or best practices. Regular audits will be conducted to ensure compliance with this protocol and all relevant standards.</w:t>
      </w:r>
    </w:p>
    <w:bookmarkEnd w:id="28"/>
    <w:bookmarkStart w:id="29" w:name="conclusion"/>
    <w:p>
      <w:pPr>
        <w:pStyle w:val="Heading2"/>
      </w:pPr>
      <w:r>
        <w:t xml:space="preserve">9. Conclusion</w:t>
      </w:r>
    </w:p>
    <w:p>
      <w:pPr>
        <w:pStyle w:val="FirstParagraph"/>
      </w:pPr>
      <w:r>
        <w:t xml:space="preserve">This Experiment Protocol is a critical document for ensuring the success and safety of aerospace engineering experiments in the United States Houston area. By adhering to these guidelines, Aerospace Engineers can contribute to the advancement of aerospace technology while maintaining the highest standards of safety and integrity.</w:t>
      </w:r>
    </w:p>
    <w:bookmarkEnd w:id="29"/>
    <w:p>
      <w:pPr>
        <w:pStyle w:val="BodyText"/>
      </w:pPr>
      <w:r>
        <w:rPr>
          <w:bCs/>
          <w:b/>
        </w:rPr>
        <w:t xml:space="preserve">Approved by:</w:t>
      </w:r>
    </w:p>
    <w:p>
      <w:pPr>
        <w:pStyle w:val="BodyText"/>
      </w:pPr>
      <w:r>
        <w:t xml:space="preserve">__________________________</w:t>
      </w:r>
    </w:p>
    <w:p>
      <w:pPr>
        <w:pStyle w:val="BodyText"/>
      </w:pPr>
      <w:r>
        <w:t xml:space="preserve">Dr. Jane Doe, Chief Aerospace Engineer</w:t>
      </w:r>
    </w:p>
    <w:p>
      <w:pPr>
        <w:pStyle w:val="BodyText"/>
      </w:pPr>
      <w:r>
        <w:t xml:space="preserve">United States Houston Aerospace Research Center</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United States Houston</dc:title>
  <dc:creator/>
  <dc:language>en</dc:language>
  <cp:keywords/>
  <dcterms:created xsi:type="dcterms:W3CDTF">2026-10-10T03:37:45Z</dcterms:created>
  <dcterms:modified xsi:type="dcterms:W3CDTF">2026-10-10T03:37:45Z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