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Tashkent</w:t>
      </w:r>
    </w:p>
    <w:bookmarkStart w:id="20" w:name="X29a6ee2f3b56f29ca57700497ea4f4c7cf3fe78"/>
    <w:p>
      <w:pPr>
        <w:pStyle w:val="Heading1"/>
      </w:pPr>
      <w:r>
        <w:t xml:space="preserve">Experiment Protocol: High-Altitude Aerodynamic Stability Testing</w:t>
      </w:r>
    </w:p>
    <w:p>
      <w:pPr>
        <w:pStyle w:val="FirstParagraph"/>
      </w:pPr>
      <w:r>
        <w:rPr>
          <w:bCs/>
          <w:b/>
        </w:rPr>
        <w:t xml:space="preserve">Project ID:</w:t>
      </w:r>
      <w:r>
        <w:t xml:space="preserve"> </w:t>
      </w:r>
      <w:r>
        <w:t xml:space="preserve">UZ-AERO-2024-05</w:t>
      </w:r>
    </w:p>
    <w:p>
      <w:pPr>
        <w:pStyle w:val="BodyText"/>
      </w:pPr>
      <w:r>
        <w:rPr>
          <w:bCs/>
          <w:b/>
        </w:rPr>
        <w:t xml:space="preserve">Location:</w:t>
      </w:r>
      <w:r>
        <w:t xml:space="preserve"> </w:t>
      </w:r>
      <w:r>
        <w:t xml:space="preserve">Tashkent, Uzbekistan</w:t>
      </w:r>
    </w:p>
    <w:p>
      <w:pPr>
        <w:pStyle w:val="BodyText"/>
      </w:pPr>
      <w:r>
        <w:rPr>
          <w:bCs/>
          <w:b/>
        </w:rPr>
        <w:t xml:space="preserve">Lead Discipline:</w:t>
      </w:r>
      <w:r>
        <w:t xml:space="preserve"> </w:t>
      </w:r>
      <w:r>
        <w:t xml:space="preserve">Aerospace Engineering</w:t>
      </w:r>
    </w:p>
    <w:p>
      <w:pPr>
        <w:pStyle w:val="BodyText"/>
      </w:pPr>
      <w:r>
        <w:rPr>
          <w:bCs/>
          <w:b/>
        </w:rPr>
        <w:t xml:space="preserve">Date of Issue: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document serves as the official Experiment Protocol for the validation of aerodynamic stability in next-generation unmanned aerial vehicles (UAVs) designed for high-altitude surveillance. This protocol is specifically tailored for execution within the aerospace research facilities located in Tashkent, Uzbekistan. The primary objective is to assess the structural integrity and flight dynamics of composite airframes under simulated atmospheric conditions characteristic of the Central Asian region.</w:t>
      </w:r>
    </w:p>
    <w:p>
      <w:pPr>
        <w:pStyle w:val="BodyText"/>
      </w:pPr>
      <w:r>
        <w:t xml:space="preserve">As an Aerospace Engineer, the lead investigator is responsible for ensuring that all testing procedures adhere to international safety standards while accounting for the specific environmental variables present in Uzbekistan. The experiment aims to gather empirical data regarding lift-to-drag ratios, turbulence response, and thermal expansion of materials when subjected to the unique climatic conditions found in the Tashkent basin.</w:t>
      </w:r>
    </w:p>
    <w:bookmarkEnd w:id="21"/>
    <w:bookmarkStart w:id="22" w:name="scope-and-context"/>
    <w:p>
      <w:pPr>
        <w:pStyle w:val="Heading2"/>
      </w:pPr>
      <w:r>
        <w:t xml:space="preserve">2. Scope and Context</w:t>
      </w:r>
    </w:p>
    <w:p>
      <w:pPr>
        <w:pStyle w:val="FirstParagraph"/>
      </w:pPr>
      <w:r>
        <w:t xml:space="preserve">The scope of this experiment encompasses the wind tunnel testing and computational fluid dynamics (CFD) correlation of three distinct prototype models. The testing will be conducted at the designated aerospace testing center in Tashkent. This location was selected due to its strategic importance in the growing aerospace sector of Uzbekistan and its access to specialized infrastructure capable of handling high-velocity airflow simulations.</w:t>
      </w:r>
    </w:p>
    <w:p>
      <w:pPr>
        <w:pStyle w:val="BodyText"/>
      </w:pPr>
      <w:r>
        <w:t xml:space="preserve">The protocol addresses the specific needs of the local aerospace industry, focusing on developing technologies that can operate efficiently in the arid, high-temperature environments typical of the region. The Aerospace Engineer must ensure that the experimental design reflects the operational realities of deploying such technology within the borders of Uzbekistan.</w:t>
      </w:r>
    </w:p>
    <w:bookmarkEnd w:id="22"/>
    <w:bookmarkStart w:id="23" w:name="equipment-and-materials"/>
    <w:p>
      <w:pPr>
        <w:pStyle w:val="Heading2"/>
      </w:pPr>
      <w:r>
        <w:t xml:space="preserve">3. Equipment and Materials</w:t>
      </w:r>
    </w:p>
    <w:p>
      <w:pPr>
        <w:pStyle w:val="FirstParagraph"/>
      </w:pPr>
      <w:r>
        <w:t xml:space="preserve">The following equipment is required for the successful execution of this Experiment Protocol:</w:t>
      </w:r>
    </w:p>
    <w:p>
      <w:pPr>
        <w:numPr>
          <w:ilvl w:val="0"/>
          <w:numId w:val="1001"/>
        </w:numPr>
        <w:pStyle w:val="Compact"/>
      </w:pPr>
      <w:r>
        <w:rPr>
          <w:bCs/>
          <w:b/>
        </w:rPr>
        <w:t xml:space="preserve">Subsonic Wind Tunnel:</w:t>
      </w:r>
      <w:r>
        <w:t xml:space="preserve"> </w:t>
      </w:r>
      <w:r>
        <w:t xml:space="preserve">Located at the Tashkent facility, capable of generating airflow velocities up to Mach 0.8.</w:t>
      </w:r>
    </w:p>
    <w:p>
      <w:pPr>
        <w:numPr>
          <w:ilvl w:val="0"/>
          <w:numId w:val="1001"/>
        </w:numPr>
        <w:pStyle w:val="Compact"/>
      </w:pPr>
      <w:r>
        <w:rPr>
          <w:bCs/>
          <w:b/>
        </w:rPr>
        <w:t xml:space="preserve">Strain Gauges and Load Cells:</w:t>
      </w:r>
      <w:r>
        <w:t xml:space="preserve"> </w:t>
      </w:r>
      <w:r>
        <w:t xml:space="preserve">High-precision sensors calibrated for the specific composite materials used in the prototypes.</w:t>
      </w:r>
    </w:p>
    <w:p>
      <w:pPr>
        <w:numPr>
          <w:ilvl w:val="0"/>
          <w:numId w:val="1001"/>
        </w:numPr>
        <w:pStyle w:val="Compact"/>
      </w:pPr>
      <w:r>
        <w:rPr>
          <w:bCs/>
          <w:b/>
        </w:rPr>
        <w:t xml:space="preserve">Data Acquisition System (DAQ):</w:t>
      </w:r>
      <w:r>
        <w:t xml:space="preserve"> </w:t>
      </w:r>
      <w:r>
        <w:t xml:space="preserve">A centralized system to record real-time telemetry, including pressure distribution and vibration frequencies.</w:t>
      </w:r>
    </w:p>
    <w:p>
      <w:pPr>
        <w:numPr>
          <w:ilvl w:val="0"/>
          <w:numId w:val="1001"/>
        </w:numPr>
        <w:pStyle w:val="Compact"/>
      </w:pPr>
      <w:r>
        <w:rPr>
          <w:bCs/>
          <w:b/>
        </w:rPr>
        <w:t xml:space="preserve">Prototype UAV Models:</w:t>
      </w:r>
      <w:r>
        <w:t xml:space="preserve"> </w:t>
      </w:r>
      <w:r>
        <w:t xml:space="preserve">Three scale models (1:5 ratio) constructed from carbon-fiber reinforced polymer.</w:t>
      </w:r>
    </w:p>
    <w:p>
      <w:pPr>
        <w:numPr>
          <w:ilvl w:val="0"/>
          <w:numId w:val="1001"/>
        </w:numPr>
        <w:pStyle w:val="Compact"/>
      </w:pPr>
      <w:r>
        <w:rPr>
          <w:bCs/>
          <w:b/>
        </w:rPr>
        <w:t xml:space="preserve">Environmental Control Unit:</w:t>
      </w:r>
      <w:r>
        <w:t xml:space="preserve"> </w:t>
      </w:r>
      <w:r>
        <w:t xml:space="preserve">To simulate the temperature and humidity levels typical of Tashkent summers (up to 40°C).</w:t>
      </w:r>
    </w:p>
    <w:bookmarkEnd w:id="23"/>
    <w:bookmarkStart w:id="27" w:name="methodology"/>
    <w:p>
      <w:pPr>
        <w:pStyle w:val="Heading2"/>
      </w:pPr>
      <w:r>
        <w:t xml:space="preserve">4. Methodology</w:t>
      </w:r>
    </w:p>
    <w:p>
      <w:pPr>
        <w:pStyle w:val="FirstParagraph"/>
      </w:pPr>
      <w:r>
        <w:t xml:space="preserve">The experiment will proceed in three distinct phases, overseen by the lead Aerospace Engineer.</w:t>
      </w:r>
    </w:p>
    <w:bookmarkStart w:id="24" w:name="phase-1-calibration-and-setup"/>
    <w:p>
      <w:pPr>
        <w:pStyle w:val="Heading3"/>
      </w:pPr>
      <w:r>
        <w:t xml:space="preserve">Phase 1: Calibration and Setup</w:t>
      </w:r>
    </w:p>
    <w:p>
      <w:pPr>
        <w:pStyle w:val="FirstParagraph"/>
      </w:pPr>
      <w:r>
        <w:t xml:space="preserve">Prior to testing, all sensors must be calibrated against known standards. The wind tunnel in Tashkent must be cleared of debris, and the airflow must be stabilized. The environmental control unit will be set to mimic the ambient conditions of Uzbekistan during peak operational hours. The Aerospace Engineer will verify that the mounting fixtures for the prototypes are secure and aligned with the tunnel's centerline.</w:t>
      </w:r>
    </w:p>
    <w:bookmarkEnd w:id="24"/>
    <w:bookmarkStart w:id="25" w:name="phase-2-aerodynamic-testing"/>
    <w:p>
      <w:pPr>
        <w:pStyle w:val="Heading3"/>
      </w:pPr>
      <w:r>
        <w:t xml:space="preserve">Phase 2: Aerodynamic Testing</w:t>
      </w:r>
    </w:p>
    <w:p>
      <w:pPr>
        <w:pStyle w:val="FirstParagraph"/>
      </w:pPr>
      <w:r>
        <w:t xml:space="preserve">Each prototype will be subjected to a series of wind speeds ranging from 20 m/s to 80 m/s. At each interval, the angle of attack will be adjusted from -5 degrees to +15 degrees. The DAQ system will record lift, drag, and moment coefficients. Special attention will be paid to the onset of stall and the behavior of the control surfaces under high dynamic pressure.</w:t>
      </w:r>
    </w:p>
    <w:bookmarkEnd w:id="25"/>
    <w:bookmarkStart w:id="26" w:name="phase-3-structural-integrity-assessment"/>
    <w:p>
      <w:pPr>
        <w:pStyle w:val="Heading3"/>
      </w:pPr>
      <w:r>
        <w:t xml:space="preserve">Phase 3: Structural Integrity Assessment</w:t>
      </w:r>
    </w:p>
    <w:p>
      <w:pPr>
        <w:pStyle w:val="FirstParagraph"/>
      </w:pPr>
      <w:r>
        <w:t xml:space="preserve">Following the aerodynamic tests, the prototypes will be inspected for signs of fatigue or deformation. The Aerospace Engineer will analyze the strain gauge data to ensure that the structural loads remained within the safety factors defined by the design specifications. Any anomalies observed during the testing in Tashkent must be documented immediately.</w:t>
      </w:r>
    </w:p>
    <w:bookmarkEnd w:id="26"/>
    <w:bookmarkEnd w:id="27"/>
    <w:bookmarkStart w:id="28" w:name="safety-procedures"/>
    <w:p>
      <w:pPr>
        <w:pStyle w:val="Heading2"/>
      </w:pPr>
      <w:r>
        <w:t xml:space="preserve">5. Safety Procedures</w:t>
      </w:r>
    </w:p>
    <w:p>
      <w:pPr>
        <w:pStyle w:val="FirstParagraph"/>
      </w:pPr>
      <w:r>
        <w:t xml:space="preserve">Safety is paramount in this Experiment Protocol. All personnel involved in the aerospace engineering tasks must wear appropriate personal protective equipment (PPE), including safety glasses and hearing protection. The wind tunnel area in Tashkent is designated as a controlled zone; access is restricted to authorized personnel only.</w:t>
      </w:r>
    </w:p>
    <w:p>
      <w:pPr>
        <w:pStyle w:val="BodyText"/>
      </w:pPr>
      <w:r>
        <w:t xml:space="preserve">In the event of a mechanical failure or emergency, the emergency stop button must be activated immediately. The Aerospace Engineer is responsible for conducting a pre-test safety briefing with all team members to ensure that everyone is aware of the evacuation routes and emergency procedures specific to the facility in Uzbekistan.</w:t>
      </w:r>
    </w:p>
    <w:bookmarkEnd w:id="28"/>
    <w:bookmarkStart w:id="29" w:name="data-analysis-and-reporting"/>
    <w:p>
      <w:pPr>
        <w:pStyle w:val="Heading2"/>
      </w:pPr>
      <w:r>
        <w:t xml:space="preserve">6. Data Analysis and Reporting</w:t>
      </w:r>
    </w:p>
    <w:p>
      <w:pPr>
        <w:pStyle w:val="FirstParagraph"/>
      </w:pPr>
      <w:r>
        <w:t xml:space="preserve">Upon completion of the testing, the Aerospace Engineer will compile all data into a comprehensive report. This report will include a comparison of the experimental results with the CFD predictions. The analysis will focus on the performance of the prototypes under the specific environmental conditions of Tashkent.</w:t>
      </w:r>
    </w:p>
    <w:p>
      <w:pPr>
        <w:pStyle w:val="BodyText"/>
      </w:pPr>
      <w:r>
        <w:t xml:space="preserve">The findings will be used to refine the design of the UAVs for future deployment in Uzbekistan and potentially other regions with similar climatic conditions. The Experiment Protocol requires that all raw data be archived securely for future reference and verification.</w:t>
      </w:r>
    </w:p>
    <w:bookmarkEnd w:id="29"/>
    <w:bookmarkStart w:id="30" w:name="conclusion"/>
    <w:p>
      <w:pPr>
        <w:pStyle w:val="Heading2"/>
      </w:pPr>
      <w:r>
        <w:t xml:space="preserve">7. Conclusion</w:t>
      </w:r>
    </w:p>
    <w:p>
      <w:pPr>
        <w:pStyle w:val="FirstParagraph"/>
      </w:pPr>
      <w:r>
        <w:t xml:space="preserve">This Experiment Protocol outlines the rigorous testing procedures necessary to validate the aerodynamic and structural performance of new aerospace technologies. By conducting these tests in Tashkent, Uzbekistan, we aim to contribute to the advancement of the local aerospace industry and ensure that our engineering solutions are robust and reliable in the face of regional environmental challenges. The role of the Aerospace Engineer is critical in maintaining the integrity of this process and ensuring that all objectives are met with precision and safety.</w:t>
      </w:r>
    </w:p>
    <w:bookmarkEnd w:id="30"/>
    <w:p>
      <w:pPr>
        <w:pStyle w:val="BodyText"/>
      </w:pPr>
      <w:r>
        <w:rPr>
          <w:bCs/>
          <w:b/>
        </w:rPr>
        <w:t xml:space="preserve">Lead Aerospace Engineer:</w:t>
      </w:r>
    </w:p>
    <w:p>
      <w:pPr>
        <w:pStyle w:val="BodyText"/>
      </w:pPr>
      <w:r>
        <w:t xml:space="preserve">Signature</w:t>
      </w:r>
    </w:p>
    <w:p>
      <w:pPr>
        <w:pStyle w:val="BodyText"/>
      </w:pPr>
      <w:r>
        <w:rPr>
          <w:bCs/>
          <w:b/>
        </w:rPr>
        <w:t xml:space="preserve">Facility Director (Tashkent):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Tashkent</dc:title>
  <dc:creator/>
  <dc:language>en</dc:language>
  <cp:keywords/>
  <dcterms:created xsi:type="dcterms:W3CDTF">2026-10-10T01:16:47Z</dcterms:created>
  <dcterms:modified xsi:type="dcterms:W3CDTF">2026-10-10T01:16:47Z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