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Australia</w:t>
      </w:r>
      <w:r>
        <w:t xml:space="preserve"> </w:t>
      </w:r>
      <w:r>
        <w:t xml:space="preserve">Melbourne</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 Urban Design and Structural Integrity Assessment</w:t>
      </w:r>
    </w:p>
    <w:p>
      <w:pPr>
        <w:pStyle w:val="BodyText"/>
      </w:pPr>
      <w:r>
        <w:rPr>
          <w:bCs/>
          <w:b/>
        </w:rPr>
        <w:t xml:space="preserve">Location:</w:t>
      </w:r>
      <w:r>
        <w:t xml:space="preserve"> </w:t>
      </w:r>
      <w:r>
        <w:t xml:space="preserve">Australia Melbourne (Greater Melbourne Region)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"Architect" system within the unique urban and environmental context of Australia Melbourne. The primary objective is to assess the efficacy of the Architect framework in optimizing building designs for energy efficiency, structural resilience, and aesthetic integration within Melbourne's diverse architectural landscape.</w:t>
      </w:r>
    </w:p>
    <w:p>
      <w:pPr>
        <w:pStyle w:val="BodyText"/>
      </w:pPr>
      <w:r>
        <w:t xml:space="preserve">Melbourne is characterized by its variable climate, ranging from hot summers to cold winters, and its strict planning schemes. Therefore, this experiment aims to determine if the Architect system can successfully generate designs that comply with the National Construction Code (NCC) and local Melbourne planning permits while maximizing sustainability metrics.</w:t>
      </w:r>
    </w:p>
    <w:bookmarkEnd w:id="20"/>
    <w:bookmarkStart w:id="21" w:name="scope-and-definitions"/>
    <w:p>
      <w:pPr>
        <w:pStyle w:val="Heading2"/>
      </w:pPr>
      <w:r>
        <w:t xml:space="preserve">2. Scope and Definitions</w:t>
      </w:r>
    </w:p>
    <w:p>
      <w:pPr>
        <w:pStyle w:val="FirstParagraph"/>
      </w:pPr>
      <w:r>
        <w:t xml:space="preserve">The scope of this experiment is limited to residential and mixed-use developments within the metropolitan area of Australia Melbourne. The term "Architect" in this document refers to the specific computational design and simulation toolset being tested.</w:t>
      </w:r>
    </w:p>
    <w:p>
      <w:pPr>
        <w:pStyle w:val="BodyText"/>
      </w:pPr>
      <w:r>
        <w:t xml:space="preserve">Key definitions include:</w:t>
      </w:r>
    </w:p>
    <w:p>
      <w:pPr>
        <w:numPr>
          <w:ilvl w:val="0"/>
          <w:numId w:val="1001"/>
        </w:numPr>
        <w:pStyle w:val="Compact"/>
      </w:pPr>
      <w:r>
        <w:rPr>
          <w:bCs/>
          <w:b/>
        </w:rPr>
        <w:t xml:space="preserve">Architect:</w:t>
      </w:r>
      <w:r>
        <w:t xml:space="preserve"> </w:t>
      </w:r>
      <w:r>
        <w:t xml:space="preserve">The algorithmic design engine responsible for generating floor plans, structural layouts, and material selections.</w:t>
      </w:r>
    </w:p>
    <w:p>
      <w:pPr>
        <w:numPr>
          <w:ilvl w:val="0"/>
          <w:numId w:val="1001"/>
        </w:numPr>
        <w:pStyle w:val="Compact"/>
      </w:pPr>
      <w:r>
        <w:rPr>
          <w:bCs/>
          <w:b/>
        </w:rPr>
        <w:t xml:space="preserve">Australia Melbourne Context:</w:t>
      </w:r>
      <w:r>
        <w:t xml:space="preserve"> </w:t>
      </w:r>
      <w:r>
        <w:t xml:space="preserve">The specific geographical, climatic, and regulatory environment of Melbourne, Victoria, including local council requirements.</w:t>
      </w:r>
    </w:p>
    <w:p>
      <w:pPr>
        <w:numPr>
          <w:ilvl w:val="0"/>
          <w:numId w:val="1001"/>
        </w:numPr>
        <w:pStyle w:val="Compact"/>
      </w:pPr>
      <w:r>
        <w:rPr>
          <w:bCs/>
          <w:b/>
        </w:rPr>
        <w:t xml:space="preserve">Experiment Protocol:</w:t>
      </w:r>
      <w:r>
        <w:t xml:space="preserve"> </w:t>
      </w:r>
      <w:r>
        <w:t xml:space="preserve">The standardized procedure followed to ensure reproducibility and accuracy of the Architect system's performance data.</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Three distinct sites within Australia Melbourne will be selected for this experiment to ensure a comprehensive evaluation:</w:t>
      </w:r>
    </w:p>
    <w:p>
      <w:pPr>
        <w:numPr>
          <w:ilvl w:val="0"/>
          <w:numId w:val="1002"/>
        </w:numPr>
        <w:pStyle w:val="Compact"/>
      </w:pPr>
      <w:r>
        <w:rPr>
          <w:bCs/>
          <w:b/>
        </w:rPr>
        <w:t xml:space="preserve">Site A (Inner North):</w:t>
      </w:r>
      <w:r>
        <w:t xml:space="preserve"> </w:t>
      </w:r>
      <w:r>
        <w:t xml:space="preserve">A high-density urban infill site to test the Architect's ability to navigate strict overshadowing and setback requirements.</w:t>
      </w:r>
    </w:p>
    <w:p>
      <w:pPr>
        <w:numPr>
          <w:ilvl w:val="0"/>
          <w:numId w:val="1002"/>
        </w:numPr>
        <w:pStyle w:val="Compact"/>
      </w:pPr>
      <w:r>
        <w:rPr>
          <w:bCs/>
          <w:b/>
        </w:rPr>
        <w:t xml:space="preserve">Site B (South-East Suburbs):</w:t>
      </w:r>
      <w:r>
        <w:t xml:space="preserve"> </w:t>
      </w:r>
      <w:r>
        <w:t xml:space="preserve">A sloping residential block to evaluate structural adaptation and drainage integration.</w:t>
      </w:r>
    </w:p>
    <w:p>
      <w:pPr>
        <w:numPr>
          <w:ilvl w:val="0"/>
          <w:numId w:val="1002"/>
        </w:numPr>
        <w:pStyle w:val="Compact"/>
      </w:pPr>
      <w:r>
        <w:rPr>
          <w:bCs/>
          <w:b/>
        </w:rPr>
        <w:t xml:space="preserve">Site C (Western Growth Corridor):</w:t>
      </w:r>
      <w:r>
        <w:t xml:space="preserve"> </w:t>
      </w:r>
      <w:r>
        <w:t xml:space="preserve">A greenfield site to assess large-scale planning and community infrastructure integration.</w:t>
      </w:r>
    </w:p>
    <w:bookmarkEnd w:id="22"/>
    <w:bookmarkStart w:id="23" w:name="data-input-parameters"/>
    <w:p>
      <w:pPr>
        <w:pStyle w:val="Heading3"/>
      </w:pPr>
      <w:r>
        <w:t xml:space="preserve">3.2 Data Input Parameters</w:t>
      </w:r>
    </w:p>
    <w:p>
      <w:pPr>
        <w:pStyle w:val="FirstParagraph"/>
      </w:pPr>
      <w:r>
        <w:t xml:space="preserve">The Architect system will be fed with specific datasets relevant to Australia Melbourne. These inputs include:</w:t>
      </w:r>
    </w:p>
    <w:p>
      <w:pPr>
        <w:numPr>
          <w:ilvl w:val="0"/>
          <w:numId w:val="1003"/>
        </w:numPr>
        <w:pStyle w:val="Compact"/>
      </w:pPr>
      <w:r>
        <w:t xml:space="preserve">Solar path data specific to Melbourne's latitude.</w:t>
      </w:r>
    </w:p>
    <w:p>
      <w:pPr>
        <w:numPr>
          <w:ilvl w:val="0"/>
          <w:numId w:val="1003"/>
        </w:numPr>
        <w:pStyle w:val="Compact"/>
      </w:pPr>
      <w:r>
        <w:t xml:space="preserve">Local soil classification reports (e.g., reactive clay soils common in Melbourne).</w:t>
      </w:r>
    </w:p>
    <w:p>
      <w:pPr>
        <w:numPr>
          <w:ilvl w:val="0"/>
          <w:numId w:val="1003"/>
        </w:numPr>
        <w:pStyle w:val="Compact"/>
      </w:pPr>
      <w:r>
        <w:t xml:space="preserve">Current zoning overlays from the Victorian Planning Provisions.</w:t>
      </w:r>
    </w:p>
    <w:p>
      <w:pPr>
        <w:numPr>
          <w:ilvl w:val="0"/>
          <w:numId w:val="1003"/>
        </w:numPr>
        <w:pStyle w:val="Compact"/>
      </w:pPr>
      <w:r>
        <w:t xml:space="preserve">Historical weather data for thermal simulation.</w:t>
      </w:r>
    </w:p>
    <w:bookmarkEnd w:id="23"/>
    <w:bookmarkStart w:id="24" w:name="execution-procedure"/>
    <w:p>
      <w:pPr>
        <w:pStyle w:val="Heading3"/>
      </w:pPr>
      <w:r>
        <w:t xml:space="preserve">3.3 Execution Procedure</w:t>
      </w:r>
    </w:p>
    <w:p>
      <w:pPr>
        <w:pStyle w:val="FirstParagraph"/>
      </w:pPr>
      <w:r>
        <w:t xml:space="preserve">The experiment will proceed in three phases:</w:t>
      </w:r>
    </w:p>
    <w:p>
      <w:pPr>
        <w:numPr>
          <w:ilvl w:val="0"/>
          <w:numId w:val="1004"/>
        </w:numPr>
        <w:pStyle w:val="Compact"/>
      </w:pPr>
      <w:r>
        <w:rPr>
          <w:bCs/>
          <w:b/>
        </w:rPr>
        <w:t xml:space="preserve">Generation Phase:</w:t>
      </w:r>
      <w:r>
        <w:t xml:space="preserve"> </w:t>
      </w:r>
      <w:r>
        <w:t xml:space="preserve">The Architect will generate five distinct design iterations for each site.</w:t>
      </w:r>
    </w:p>
    <w:p>
      <w:pPr>
        <w:numPr>
          <w:ilvl w:val="0"/>
          <w:numId w:val="1004"/>
        </w:numPr>
        <w:pStyle w:val="Compact"/>
      </w:pPr>
      <w:r>
        <w:rPr>
          <w:bCs/>
          <w:b/>
        </w:rPr>
        <w:t xml:space="preserve">Simulation Phase:</w:t>
      </w:r>
      <w:r>
        <w:t xml:space="preserve"> </w:t>
      </w:r>
      <w:r>
        <w:t xml:space="preserve">Each design will undergo energy modeling and structural analysis.</w:t>
      </w:r>
    </w:p>
    <w:p>
      <w:pPr>
        <w:numPr>
          <w:ilvl w:val="0"/>
          <w:numId w:val="1004"/>
        </w:numPr>
        <w:pStyle w:val="Compact"/>
      </w:pPr>
      <w:r>
        <w:rPr>
          <w:bCs/>
          <w:b/>
        </w:rPr>
        <w:t xml:space="preserve">Review Phase:</w:t>
      </w:r>
      <w:r>
        <w:t xml:space="preserve"> </w:t>
      </w:r>
      <w:r>
        <w:t xml:space="preserve">A panel of certified architects and engineers based in Australia Melbourne will review the outputs for compliance and viability.</w:t>
      </w:r>
    </w:p>
    <w:bookmarkEnd w:id="24"/>
    <w:bookmarkEnd w:id="25"/>
    <w:bookmarkStart w:id="26" w:name="evaluation-criteria"/>
    <w:p>
      <w:pPr>
        <w:pStyle w:val="Heading2"/>
      </w:pPr>
      <w:r>
        <w:t xml:space="preserve">4. Evaluation Criteria</w:t>
      </w:r>
    </w:p>
    <w:p>
      <w:pPr>
        <w:pStyle w:val="FirstParagraph"/>
      </w:pPr>
      <w:r>
        <w:t xml:space="preserve">The success of the Architect system will be measured against the following criteria, tailored to the standards of Australia Melbourne:</w:t>
      </w:r>
    </w:p>
    <w:p>
      <w:pPr>
        <w:numPr>
          <w:ilvl w:val="0"/>
          <w:numId w:val="1005"/>
        </w:numPr>
        <w:pStyle w:val="Compact"/>
      </w:pPr>
      <w:r>
        <w:rPr>
          <w:bCs/>
          <w:b/>
        </w:rPr>
        <w:t xml:space="preserve">Regulatory Compliance:</w:t>
      </w:r>
      <w:r>
        <w:t xml:space="preserve"> </w:t>
      </w:r>
      <w:r>
        <w:t xml:space="preserve">Does the design meet the requirements of the Building Act 1993 (Vic) and local council codes?</w:t>
      </w:r>
    </w:p>
    <w:p>
      <w:pPr>
        <w:numPr>
          <w:ilvl w:val="0"/>
          <w:numId w:val="1005"/>
        </w:numPr>
        <w:pStyle w:val="Compact"/>
      </w:pPr>
      <w:r>
        <w:rPr>
          <w:bCs/>
          <w:b/>
        </w:rPr>
        <w:t xml:space="preserve">Energy Efficiency:</w:t>
      </w:r>
      <w:r>
        <w:t xml:space="preserve"> </w:t>
      </w:r>
      <w:r>
        <w:t xml:space="preserve">Does the design achieve a minimum 7-star NatHERS rating?</w:t>
      </w:r>
    </w:p>
    <w:p>
      <w:pPr>
        <w:numPr>
          <w:ilvl w:val="0"/>
          <w:numId w:val="1005"/>
        </w:numPr>
        <w:pStyle w:val="Compact"/>
      </w:pPr>
      <w:r>
        <w:rPr>
          <w:bCs/>
          <w:b/>
        </w:rPr>
        <w:t xml:space="preserve">Structural Integrity:</w:t>
      </w:r>
      <w:r>
        <w:t xml:space="preserve"> </w:t>
      </w:r>
      <w:r>
        <w:t xml:space="preserve">Are the foundations and load-bearing structures adequate for Melbourne's soil conditions?</w:t>
      </w:r>
    </w:p>
    <w:p>
      <w:pPr>
        <w:numPr>
          <w:ilvl w:val="0"/>
          <w:numId w:val="1005"/>
        </w:numPr>
        <w:pStyle w:val="Compact"/>
      </w:pPr>
      <w:r>
        <w:rPr>
          <w:bCs/>
          <w:b/>
        </w:rPr>
        <w:t xml:space="preserve">Aesthetic Harmony:</w:t>
      </w:r>
      <w:r>
        <w:t xml:space="preserve"> </w:t>
      </w:r>
      <w:r>
        <w:t xml:space="preserve">Does the design respect the streetscape character of the specific Melbourne suburb?</w:t>
      </w:r>
    </w:p>
    <w:bookmarkEnd w:id="26"/>
    <w:bookmarkStart w:id="27" w:name="risk-management"/>
    <w:p>
      <w:pPr>
        <w:pStyle w:val="Heading2"/>
      </w:pPr>
      <w:r>
        <w:t xml:space="preserve">5. Risk Management</w:t>
      </w:r>
    </w:p>
    <w:p>
      <w:pPr>
        <w:pStyle w:val="FirstParagraph"/>
      </w:pPr>
      <w:r>
        <w:t xml:space="preserve">While this is a digital experiment, risks associated with data accuracy and regulatory interpretation must be managed. The Experiment Protocol mandates that all regulatory data used by the Architect must be verified by a local planning consultant in Australia Melbourne prior to the start of the generation phase. This ensures that the Architect is not operating on outdated planning schemes.</w:t>
      </w:r>
    </w:p>
    <w:bookmarkEnd w:id="27"/>
    <w:bookmarkStart w:id="28" w:name="ethical-considerations"/>
    <w:p>
      <w:pPr>
        <w:pStyle w:val="Heading2"/>
      </w:pPr>
      <w:r>
        <w:t xml:space="preserve">6. Ethical Considerations</w:t>
      </w:r>
    </w:p>
    <w:p>
      <w:pPr>
        <w:pStyle w:val="FirstParagraph"/>
      </w:pPr>
      <w:r>
        <w:t xml:space="preserve">This experiment adheres to the ethical guidelines for architectural research in Australia. All data collected regarding site specifics will be anonymized. The use of the Architect system is intended to assist, not replace, human professional judgment in the design process.</w:t>
      </w:r>
    </w:p>
    <w:bookmarkEnd w:id="28"/>
    <w:bookmarkStart w:id="29" w:name="reporting-and-documentation"/>
    <w:p>
      <w:pPr>
        <w:pStyle w:val="Heading2"/>
      </w:pPr>
      <w:r>
        <w:t xml:space="preserve">7. Reporting and Documentation</w:t>
      </w:r>
    </w:p>
    <w:p>
      <w:pPr>
        <w:pStyle w:val="FirstParagraph"/>
      </w:pPr>
      <w:r>
        <w:t xml:space="preserve">Upon completion of the experiment, a comprehensive report will be generated. This report will detail the performance of the Architect across the three Melbourne sites. It will include comparative analysis between the Architect's designs and traditional human-led designs for similar projects in Australia Melbourne. The findings will be documented to contribute to the broader understanding of computational architecture in the Australian context.</w:t>
      </w:r>
    </w:p>
    <w:bookmarkEnd w:id="29"/>
    <w:bookmarkStart w:id="30" w:name="conclusion"/>
    <w:p>
      <w:pPr>
        <w:pStyle w:val="Heading2"/>
      </w:pPr>
      <w:r>
        <w:t xml:space="preserve">8. Conclusion</w:t>
      </w:r>
    </w:p>
    <w:p>
      <w:pPr>
        <w:pStyle w:val="FirstParagraph"/>
      </w:pPr>
      <w:r>
        <w:t xml:space="preserve">This Experiment Protocol provides a rigorous framework for testing the Architect system. By focusing on the specific challenges and opportunities presented by Australia Melbourne, this study aims to validate the tool's utility in modern architectural practice. The results will inform future iterations of the Architect, ensuring it remains a relevant and effective tool for designers working in Melbourne and similar urban environments.</w:t>
      </w:r>
    </w:p>
    <w:bookmarkEnd w:id="30"/>
    <w:p>
      <w:pPr>
        <w:pStyle w:val="BodyText"/>
      </w:pPr>
      <w:r>
        <w:rPr>
          <w:bCs/>
          <w:b/>
        </w:rPr>
        <w:t xml:space="preserve">Note:</w:t>
      </w:r>
      <w:r>
        <w:t xml:space="preserve"> </w:t>
      </w:r>
      <w:r>
        <w:t xml:space="preserve">This document serves as a formal guide for all personnel involved in the Architect experiment. Any deviations from this protocol must be approved by the Lead Investigator and documented in the project log.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Australia Melbourne</dc:title>
  <dc:creator/>
  <dc:language>en</dc:language>
  <cp:keywords/>
  <dcterms:created xsi:type="dcterms:W3CDTF">2026-10-10T03:34:21Z</dcterms:created>
  <dcterms:modified xsi:type="dcterms:W3CDTF">2026-10-10T03:34:21Z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